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12FD4">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rPr>
          <w:rFonts w:asciiTheme="majorEastAsia" w:hAnsiTheme="majorEastAsia" w:eastAsiaTheme="majorEastAsia"/>
          <w:b/>
          <w:bCs/>
          <w:sz w:val="36"/>
          <w:szCs w:val="36"/>
        </w:rPr>
      </w:pPr>
      <w:r>
        <w:rPr>
          <w:rFonts w:asciiTheme="majorEastAsia" w:hAnsiTheme="majorEastAsia" w:eastAsiaTheme="majorEastAsia"/>
          <w:b/>
          <w:bCs/>
          <w:sz w:val="36"/>
          <w:szCs w:val="36"/>
        </w:rPr>
        <w:t>蒲江县</w:t>
      </w:r>
      <w:r>
        <w:rPr>
          <w:rFonts w:hint="eastAsia" w:asciiTheme="majorEastAsia" w:hAnsiTheme="majorEastAsia" w:eastAsiaTheme="majorEastAsia"/>
          <w:b/>
          <w:bCs/>
          <w:sz w:val="36"/>
          <w:szCs w:val="36"/>
        </w:rPr>
        <w:t>中医医院</w:t>
      </w:r>
    </w:p>
    <w:p w14:paraId="14FC7CE4">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rPr>
          <w:rFonts w:asciiTheme="majorEastAsia" w:hAnsiTheme="majorEastAsia" w:eastAsiaTheme="majorEastAsia"/>
          <w:b/>
          <w:bCs/>
          <w:sz w:val="36"/>
          <w:szCs w:val="36"/>
        </w:rPr>
      </w:pPr>
      <w:r>
        <w:rPr>
          <w:rFonts w:asciiTheme="majorEastAsia" w:hAnsiTheme="majorEastAsia" w:eastAsiaTheme="majorEastAsia"/>
          <w:b/>
          <w:bCs/>
          <w:sz w:val="36"/>
          <w:szCs w:val="36"/>
        </w:rPr>
        <w:t>关于医</w:t>
      </w:r>
      <w:r>
        <w:rPr>
          <w:rFonts w:hint="eastAsia" w:asciiTheme="majorEastAsia" w:hAnsiTheme="majorEastAsia" w:eastAsiaTheme="majorEastAsia"/>
          <w:b/>
          <w:bCs/>
          <w:sz w:val="36"/>
          <w:szCs w:val="36"/>
          <w:lang w:val="en-US" w:eastAsia="zh-CN"/>
        </w:rPr>
        <w:t>院CT、DR</w:t>
      </w:r>
      <w:r>
        <w:rPr>
          <w:rFonts w:asciiTheme="majorEastAsia" w:hAnsiTheme="majorEastAsia" w:eastAsiaTheme="majorEastAsia"/>
          <w:b/>
          <w:bCs/>
          <w:sz w:val="36"/>
          <w:szCs w:val="36"/>
        </w:rPr>
        <w:t>维保服务项目</w:t>
      </w:r>
    </w:p>
    <w:p w14:paraId="32F2C730">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rPr>
          <w:rFonts w:asciiTheme="majorEastAsia" w:hAnsiTheme="majorEastAsia" w:eastAsiaTheme="majorEastAsia"/>
          <w:b/>
          <w:bCs/>
          <w:sz w:val="36"/>
          <w:szCs w:val="36"/>
        </w:rPr>
      </w:pPr>
      <w:r>
        <w:rPr>
          <w:rFonts w:asciiTheme="majorEastAsia" w:hAnsiTheme="majorEastAsia" w:eastAsiaTheme="majorEastAsia"/>
          <w:b/>
          <w:bCs/>
          <w:sz w:val="36"/>
          <w:szCs w:val="36"/>
        </w:rPr>
        <w:t>市场调查公告</w:t>
      </w:r>
    </w:p>
    <w:p w14:paraId="72DE377B">
      <w:pPr>
        <w:keepNext w:val="0"/>
        <w:keepLines w:val="0"/>
        <w:pageBreakBefore w:val="0"/>
        <w:widowControl/>
        <w:kinsoku/>
        <w:wordWrap/>
        <w:overflowPunct/>
        <w:topLinePunct w:val="0"/>
        <w:autoSpaceDE/>
        <w:autoSpaceDN/>
        <w:bidi w:val="0"/>
        <w:adjustRightInd w:val="0"/>
        <w:snapToGrid w:val="0"/>
        <w:spacing w:line="440" w:lineRule="exact"/>
        <w:textAlignment w:val="auto"/>
        <w:rPr>
          <w:rFonts w:asciiTheme="majorEastAsia" w:hAnsiTheme="majorEastAsia" w:eastAsiaTheme="majorEastAsia"/>
          <w:sz w:val="24"/>
          <w:szCs w:val="24"/>
        </w:rPr>
      </w:pPr>
      <w:r>
        <w:rPr>
          <w:rFonts w:hint="eastAsia" w:asciiTheme="majorEastAsia" w:hAnsiTheme="majorEastAsia" w:eastAsiaTheme="majorEastAsia"/>
          <w:sz w:val="24"/>
          <w:szCs w:val="24"/>
        </w:rPr>
        <w:t>各位服务商：</w:t>
      </w:r>
    </w:p>
    <w:p w14:paraId="020E15CF">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eastAsia" w:asciiTheme="majorEastAsia" w:hAnsiTheme="majorEastAsia" w:eastAsiaTheme="majorEastAsia"/>
          <w:sz w:val="24"/>
          <w:szCs w:val="24"/>
        </w:rPr>
      </w:pPr>
      <w:r>
        <w:rPr>
          <w:rFonts w:hint="eastAsia" w:asciiTheme="majorEastAsia" w:hAnsiTheme="majorEastAsia" w:eastAsiaTheme="majorEastAsia"/>
          <w:sz w:val="24"/>
          <w:szCs w:val="24"/>
          <w:lang w:val="en-US" w:eastAsia="zh-CN"/>
        </w:rPr>
        <w:t>为保障医院医疗设备正常运转，降低故障率，提高使用率，我院拟对放射科CT、DR设备采购维保服务，开展市场调研，公开征集相关资料。</w:t>
      </w:r>
      <w:r>
        <w:rPr>
          <w:rFonts w:hint="eastAsia" w:asciiTheme="majorEastAsia" w:hAnsiTheme="majorEastAsia" w:eastAsiaTheme="majorEastAsia"/>
          <w:sz w:val="24"/>
          <w:szCs w:val="24"/>
        </w:rPr>
        <w:t>诚邀符合</w:t>
      </w:r>
      <w:r>
        <w:rPr>
          <w:rFonts w:hint="eastAsia" w:asciiTheme="majorEastAsia" w:hAnsiTheme="majorEastAsia" w:eastAsiaTheme="majorEastAsia"/>
          <w:sz w:val="24"/>
          <w:szCs w:val="24"/>
          <w:lang w:val="en-US" w:eastAsia="zh-CN"/>
        </w:rPr>
        <w:t>我院设备维保服务需求和服务能力的供应</w:t>
      </w:r>
      <w:r>
        <w:rPr>
          <w:rFonts w:hint="eastAsia" w:asciiTheme="majorEastAsia" w:hAnsiTheme="majorEastAsia" w:eastAsiaTheme="majorEastAsia"/>
          <w:sz w:val="24"/>
          <w:szCs w:val="24"/>
        </w:rPr>
        <w:t>商参与。</w:t>
      </w:r>
    </w:p>
    <w:p w14:paraId="1B7669BA">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adjustRightInd/>
        <w:snapToGrid/>
        <w:spacing w:before="0" w:beforeAutospacing="0" w:after="0" w:afterAutospacing="0" w:line="240" w:lineRule="auto"/>
        <w:ind w:left="0" w:right="0" w:firstLine="241" w:firstLineChars="100"/>
        <w:jc w:val="both"/>
        <w:textAlignment w:val="baseline"/>
        <w:rPr>
          <w:rFonts w:hint="eastAsia" w:asciiTheme="majorEastAsia" w:hAnsiTheme="majorEastAsia" w:eastAsiaTheme="majorEastAsia" w:cstheme="minorBidi"/>
          <w:kern w:val="0"/>
          <w:sz w:val="24"/>
          <w:szCs w:val="24"/>
          <w:lang w:val="en-US" w:eastAsia="zh-CN" w:bidi="ar-SA"/>
        </w:rPr>
      </w:pPr>
      <w:r>
        <w:rPr>
          <w:rFonts w:hint="eastAsia" w:asciiTheme="majorEastAsia" w:hAnsiTheme="majorEastAsia" w:eastAsiaTheme="majorEastAsia" w:cstheme="minorBidi"/>
          <w:b/>
          <w:bCs/>
          <w:kern w:val="0"/>
          <w:sz w:val="24"/>
          <w:szCs w:val="24"/>
          <w:lang w:val="en-US" w:eastAsia="zh-CN" w:bidi="ar-SA"/>
        </w:rPr>
        <w:t>拟购放射设备维保服务清单：</w:t>
      </w:r>
    </w:p>
    <w:tbl>
      <w:tblPr>
        <w:tblStyle w:val="5"/>
        <w:tblpPr w:leftFromText="180" w:rightFromText="180" w:vertAnchor="text" w:horzAnchor="page" w:tblpX="1774" w:tblpY="149"/>
        <w:tblOverlap w:val="never"/>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
        <w:gridCol w:w="1615"/>
        <w:gridCol w:w="425"/>
        <w:gridCol w:w="1132"/>
        <w:gridCol w:w="1219"/>
        <w:gridCol w:w="987"/>
        <w:gridCol w:w="1108"/>
        <w:gridCol w:w="1311"/>
        <w:gridCol w:w="978"/>
      </w:tblGrid>
      <w:tr w14:paraId="47851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8"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EDE2">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eastAsia"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包号</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9E58">
            <w:pPr>
              <w:keepNext w:val="0"/>
              <w:keepLines w:val="0"/>
              <w:pageBreakBefore w:val="0"/>
              <w:widowControl/>
              <w:kinsoku/>
              <w:wordWrap/>
              <w:overflowPunct/>
              <w:topLinePunct w:val="0"/>
              <w:autoSpaceDE/>
              <w:autoSpaceDN/>
              <w:bidi w:val="0"/>
              <w:adjustRightInd w:val="0"/>
              <w:snapToGrid w:val="0"/>
              <w:spacing w:line="440" w:lineRule="exact"/>
              <w:ind w:firstLine="181" w:firstLineChars="100"/>
              <w:textAlignment w:val="auto"/>
              <w:rPr>
                <w:rFonts w:hint="eastAsia"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设 备 名 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C9C2">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数量</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7AE4">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设备型号</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1A45">
            <w:pPr>
              <w:keepNext w:val="0"/>
              <w:keepLines w:val="0"/>
              <w:pageBreakBefore w:val="0"/>
              <w:widowControl/>
              <w:kinsoku/>
              <w:wordWrap/>
              <w:overflowPunct/>
              <w:topLinePunct w:val="0"/>
              <w:autoSpaceDE/>
              <w:autoSpaceDN/>
              <w:bidi w:val="0"/>
              <w:adjustRightInd w:val="0"/>
              <w:snapToGrid w:val="0"/>
              <w:spacing w:line="440" w:lineRule="exact"/>
              <w:ind w:firstLine="181" w:firstLineChars="100"/>
              <w:textAlignment w:val="auto"/>
              <w:rPr>
                <w:rFonts w:hint="default"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生产日期</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DAA8">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生产厂家</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DF17">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采购限价</w:t>
            </w:r>
            <w:r>
              <w:rPr>
                <w:rFonts w:hint="eastAsia" w:asciiTheme="majorEastAsia" w:hAnsiTheme="majorEastAsia" w:eastAsiaTheme="majorEastAsia"/>
                <w:b/>
                <w:bCs/>
                <w:sz w:val="15"/>
                <w:szCs w:val="15"/>
                <w:lang w:val="en-US" w:eastAsia="zh-CN"/>
              </w:rPr>
              <w:t>（万元/年）</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1E49">
            <w:pPr>
              <w:keepNext w:val="0"/>
              <w:keepLines w:val="0"/>
              <w:pageBreakBefore w:val="0"/>
              <w:widowControl/>
              <w:kinsoku/>
              <w:wordWrap/>
              <w:overflowPunct/>
              <w:topLinePunct w:val="0"/>
              <w:autoSpaceDE/>
              <w:autoSpaceDN/>
              <w:bidi w:val="0"/>
              <w:adjustRightInd w:val="0"/>
              <w:snapToGrid w:val="0"/>
              <w:spacing w:line="440" w:lineRule="exact"/>
              <w:ind w:firstLine="181" w:firstLineChars="100"/>
              <w:textAlignment w:val="auto"/>
              <w:rPr>
                <w:rFonts w:hint="eastAsia"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采购年限</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A284">
            <w:pPr>
              <w:keepNext w:val="0"/>
              <w:keepLines w:val="0"/>
              <w:pageBreakBefore w:val="0"/>
              <w:widowControl/>
              <w:kinsoku/>
              <w:wordWrap/>
              <w:overflowPunct/>
              <w:topLinePunct w:val="0"/>
              <w:autoSpaceDE/>
              <w:autoSpaceDN/>
              <w:bidi w:val="0"/>
              <w:adjustRightInd w:val="0"/>
              <w:snapToGrid w:val="0"/>
              <w:spacing w:line="440" w:lineRule="exact"/>
              <w:ind w:firstLine="181" w:firstLineChars="100"/>
              <w:textAlignment w:val="auto"/>
              <w:rPr>
                <w:rFonts w:hint="eastAsia" w:asciiTheme="majorEastAsia" w:hAnsiTheme="majorEastAsia" w:eastAsiaTheme="majorEastAsia"/>
                <w:b/>
                <w:bCs/>
                <w:sz w:val="18"/>
                <w:szCs w:val="18"/>
                <w:lang w:val="en-US" w:eastAsia="zh-CN"/>
              </w:rPr>
            </w:pPr>
            <w:r>
              <w:rPr>
                <w:rFonts w:hint="eastAsia" w:asciiTheme="majorEastAsia" w:hAnsiTheme="majorEastAsia" w:eastAsiaTheme="majorEastAsia"/>
                <w:b/>
                <w:bCs/>
                <w:sz w:val="18"/>
                <w:szCs w:val="18"/>
                <w:lang w:val="en-US" w:eastAsia="zh-CN"/>
              </w:rPr>
              <w:t>备 注</w:t>
            </w:r>
          </w:p>
        </w:tc>
      </w:tr>
      <w:tr w14:paraId="6D546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9821">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5452">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eastAsia"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医用诊断X射线系统（DR）</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B010">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1</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7FE9">
            <w:pPr>
              <w:keepNext w:val="0"/>
              <w:keepLines w:val="0"/>
              <w:pageBreakBefore w:val="0"/>
              <w:widowControl/>
              <w:kinsoku/>
              <w:wordWrap/>
              <w:overflowPunct/>
              <w:topLinePunct w:val="0"/>
              <w:autoSpaceDE/>
              <w:autoSpaceDN/>
              <w:bidi w:val="0"/>
              <w:adjustRightInd w:val="0"/>
              <w:snapToGrid w:val="0"/>
              <w:spacing w:line="440" w:lineRule="exact"/>
              <w:ind w:firstLine="180" w:firstLineChars="100"/>
              <w:textAlignment w:val="auto"/>
              <w:rPr>
                <w:rFonts w:hint="eastAsia"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DR-F</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5173">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2010年2月</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161F">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通用电气</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BFE4A">
            <w:pPr>
              <w:keepNext w:val="0"/>
              <w:keepLines w:val="0"/>
              <w:pageBreakBefore w:val="0"/>
              <w:widowControl/>
              <w:kinsoku/>
              <w:wordWrap/>
              <w:overflowPunct/>
              <w:topLinePunct w:val="0"/>
              <w:autoSpaceDE/>
              <w:autoSpaceDN/>
              <w:bidi w:val="0"/>
              <w:adjustRightInd w:val="0"/>
              <w:snapToGrid w:val="0"/>
              <w:spacing w:line="440" w:lineRule="exact"/>
              <w:ind w:firstLine="180" w:firstLineChars="100"/>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0.95</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F8F1">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2年</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B45A">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技术保</w:t>
            </w:r>
          </w:p>
        </w:tc>
      </w:tr>
      <w:tr w14:paraId="5887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9166">
            <w:pPr>
              <w:keepNext w:val="0"/>
              <w:keepLines w:val="0"/>
              <w:pageBreakBefore w:val="0"/>
              <w:widowControl/>
              <w:kinsoku/>
              <w:wordWrap/>
              <w:overflowPunct/>
              <w:topLinePunct w:val="0"/>
              <w:autoSpaceDE/>
              <w:autoSpaceDN/>
              <w:bidi w:val="0"/>
              <w:adjustRightInd w:val="0"/>
              <w:snapToGrid w:val="0"/>
              <w:spacing w:line="440" w:lineRule="exact"/>
              <w:jc w:val="both"/>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5BD2">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eastAsia"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X射线计算机体层摄影设备(CT)</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BD0D">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1</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EAE4D">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ScintCareCT16（24排32层）</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2412A">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2021年2月</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02B7">
            <w:pPr>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明峰医疗</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D76D">
            <w:pPr>
              <w:keepNext w:val="0"/>
              <w:keepLines w:val="0"/>
              <w:pageBreakBefore w:val="0"/>
              <w:widowControl/>
              <w:kinsoku/>
              <w:wordWrap/>
              <w:overflowPunct/>
              <w:topLinePunct w:val="0"/>
              <w:autoSpaceDE/>
              <w:autoSpaceDN/>
              <w:bidi w:val="0"/>
              <w:adjustRightInd w:val="0"/>
              <w:snapToGrid w:val="0"/>
              <w:spacing w:line="440" w:lineRule="exact"/>
              <w:ind w:firstLine="180" w:firstLineChars="100"/>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29.9</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3061">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3年</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BB5C">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全保</w:t>
            </w:r>
          </w:p>
        </w:tc>
      </w:tr>
    </w:tbl>
    <w:p w14:paraId="7595F858">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adjustRightInd/>
        <w:snapToGrid/>
        <w:spacing w:before="0" w:beforeAutospacing="0" w:after="0" w:afterAutospacing="0" w:line="240" w:lineRule="auto"/>
        <w:ind w:leftChars="100" w:right="0" w:rightChars="0"/>
        <w:jc w:val="both"/>
        <w:textAlignment w:val="baseline"/>
        <w:rPr>
          <w:rFonts w:hint="eastAsia" w:asciiTheme="majorEastAsia" w:hAnsiTheme="majorEastAsia" w:eastAsiaTheme="majorEastAsia" w:cstheme="minorBidi"/>
          <w:kern w:val="0"/>
          <w:sz w:val="24"/>
          <w:szCs w:val="24"/>
          <w:lang w:val="en-US" w:eastAsia="zh-CN" w:bidi="ar-SA"/>
        </w:rPr>
      </w:pPr>
    </w:p>
    <w:p w14:paraId="14BC15A3">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ind w:left="0" w:leftChars="0" w:firstLine="241" w:firstLineChars="100"/>
        <w:textAlignment w:val="auto"/>
        <w:rPr>
          <w:rFonts w:hint="eastAsia" w:asciiTheme="majorEastAsia" w:hAnsiTheme="majorEastAsia" w:eastAsiaTheme="majorEastAsia"/>
          <w:b/>
          <w:bCs/>
          <w:sz w:val="24"/>
          <w:szCs w:val="24"/>
          <w:lang w:val="en-US" w:eastAsia="zh-CN"/>
        </w:rPr>
      </w:pPr>
      <w:r>
        <w:rPr>
          <w:rFonts w:hint="eastAsia" w:asciiTheme="majorEastAsia" w:hAnsiTheme="majorEastAsia" w:eastAsiaTheme="majorEastAsia"/>
          <w:b/>
          <w:bCs/>
          <w:sz w:val="24"/>
          <w:szCs w:val="24"/>
          <w:lang w:val="en-US" w:eastAsia="zh-CN"/>
        </w:rPr>
        <w:t>服务要求：</w:t>
      </w:r>
    </w:p>
    <w:p w14:paraId="0E730DBB">
      <w:pPr>
        <w:keepNext w:val="0"/>
        <w:keepLines w:val="0"/>
        <w:pageBreakBefore w:val="0"/>
        <w:widowControl/>
        <w:numPr>
          <w:ilvl w:val="0"/>
          <w:numId w:val="2"/>
        </w:numPr>
        <w:kinsoku/>
        <w:wordWrap/>
        <w:overflowPunct/>
        <w:topLinePunct w:val="0"/>
        <w:autoSpaceDE/>
        <w:autoSpaceDN/>
        <w:bidi w:val="0"/>
        <w:adjustRightInd w:val="0"/>
        <w:snapToGrid w:val="0"/>
        <w:spacing w:line="440" w:lineRule="exact"/>
        <w:ind w:firstLine="480" w:firstLineChars="200"/>
        <w:textAlignment w:val="auto"/>
        <w:rPr>
          <w:rFonts w:hint="eastAsia" w:asciiTheme="majorEastAsia" w:hAnsiTheme="majorEastAsia" w:eastAsiaTheme="majorEastAsia"/>
          <w:color w:val="auto"/>
          <w:sz w:val="24"/>
          <w:szCs w:val="24"/>
          <w:lang w:val="en-US" w:eastAsia="zh-CN"/>
        </w:rPr>
      </w:pPr>
      <w:r>
        <w:rPr>
          <w:rFonts w:hint="eastAsia" w:asciiTheme="majorEastAsia" w:hAnsiTheme="majorEastAsia" w:eastAsiaTheme="majorEastAsia"/>
          <w:color w:val="auto"/>
          <w:sz w:val="24"/>
          <w:szCs w:val="24"/>
          <w:lang w:val="en-US" w:eastAsia="zh-CN"/>
        </w:rPr>
        <w:t>包1：医用诊断X射线系统（DR的服务要求）</w:t>
      </w:r>
    </w:p>
    <w:p w14:paraId="21DD239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lang w:eastAsia="zh-CN"/>
        </w:rPr>
      </w:pPr>
      <w:r>
        <w:rPr>
          <w:rFonts w:hint="eastAsia" w:ascii="宋体" w:hAnsi="Times New Roman" w:eastAsia="宋体" w:cs="Times New Roman"/>
          <w:color w:val="auto"/>
          <w:sz w:val="24"/>
          <w:szCs w:val="18"/>
          <w:highlight w:val="none"/>
          <w:lang w:val="en-US" w:eastAsia="zh-CN"/>
        </w:rPr>
        <w:t>1.</w:t>
      </w:r>
      <w:r>
        <w:rPr>
          <w:rFonts w:hint="eastAsia" w:ascii="宋体" w:hAnsi="Times New Roman" w:eastAsia="宋体" w:cs="Times New Roman"/>
          <w:color w:val="auto"/>
          <w:sz w:val="24"/>
          <w:szCs w:val="18"/>
          <w:highlight w:val="none"/>
        </w:rPr>
        <w:t>故障修复：对设备故障给予无限次上门检测、制定维修方案、更换必要的零配件排除故障</w:t>
      </w:r>
      <w:r>
        <w:rPr>
          <w:rFonts w:hint="eastAsia" w:ascii="宋体" w:hAnsi="Times New Roman" w:eastAsia="宋体" w:cs="Times New Roman"/>
          <w:color w:val="auto"/>
          <w:sz w:val="24"/>
          <w:szCs w:val="18"/>
          <w:highlight w:val="none"/>
          <w:lang w:eastAsia="zh-CN"/>
        </w:rPr>
        <w:t>（</w:t>
      </w:r>
      <w:r>
        <w:rPr>
          <w:rFonts w:hint="eastAsia" w:ascii="宋体" w:hAnsi="Times New Roman" w:eastAsia="宋体" w:cs="Times New Roman"/>
          <w:color w:val="auto"/>
          <w:sz w:val="24"/>
          <w:szCs w:val="18"/>
          <w:highlight w:val="none"/>
          <w:lang w:val="en-US" w:eastAsia="zh-CN"/>
        </w:rPr>
        <w:t>先修后换的原则</w:t>
      </w:r>
      <w:r>
        <w:rPr>
          <w:rFonts w:hint="eastAsia" w:ascii="宋体" w:hAnsi="Times New Roman" w:eastAsia="宋体" w:cs="Times New Roman"/>
          <w:color w:val="auto"/>
          <w:sz w:val="24"/>
          <w:szCs w:val="18"/>
          <w:highlight w:val="none"/>
          <w:lang w:eastAsia="zh-CN"/>
        </w:rPr>
        <w:t>）</w:t>
      </w:r>
      <w:r>
        <w:rPr>
          <w:rFonts w:hint="eastAsia" w:ascii="宋体" w:hAnsi="Times New Roman" w:eastAsia="宋体" w:cs="Times New Roman"/>
          <w:color w:val="auto"/>
          <w:sz w:val="24"/>
          <w:szCs w:val="18"/>
          <w:highlight w:val="none"/>
        </w:rPr>
        <w:t>，达到临床使用技术标准</w:t>
      </w:r>
      <w:r>
        <w:rPr>
          <w:rFonts w:hint="eastAsia" w:ascii="宋体" w:hAnsi="Times New Roman" w:eastAsia="宋体" w:cs="Times New Roman"/>
          <w:color w:val="auto"/>
          <w:sz w:val="24"/>
          <w:szCs w:val="18"/>
          <w:highlight w:val="none"/>
          <w:lang w:eastAsia="zh-CN"/>
        </w:rPr>
        <w:t>。所更换的配件符合国家标准或行业标准。</w:t>
      </w:r>
    </w:p>
    <w:p w14:paraId="57F65EE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rPr>
      </w:pPr>
      <w:r>
        <w:rPr>
          <w:rFonts w:hint="eastAsia" w:ascii="宋体" w:hAnsi="Times New Roman" w:eastAsia="宋体" w:cs="Times New Roman"/>
          <w:color w:val="auto"/>
          <w:sz w:val="24"/>
          <w:szCs w:val="18"/>
          <w:highlight w:val="none"/>
          <w:lang w:val="en-US" w:eastAsia="zh-CN"/>
        </w:rPr>
        <w:t>2.</w:t>
      </w:r>
      <w:r>
        <w:rPr>
          <w:rFonts w:hint="eastAsia" w:ascii="宋体" w:hAnsi="Times New Roman" w:eastAsia="宋体" w:cs="Times New Roman"/>
          <w:color w:val="auto"/>
          <w:sz w:val="24"/>
          <w:szCs w:val="18"/>
          <w:highlight w:val="none"/>
        </w:rPr>
        <w:t>技术支持：设备的长期稳定正常运行必要的技术上和管理支持，定期对设备提供保养和维护服务，提供移机方案、调校等技术服务。</w:t>
      </w:r>
    </w:p>
    <w:p w14:paraId="357FD9B3">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rPr>
      </w:pPr>
      <w:r>
        <w:rPr>
          <w:rFonts w:hint="eastAsia" w:ascii="宋体" w:hAnsi="Times New Roman" w:eastAsia="宋体" w:cs="Times New Roman"/>
          <w:color w:val="auto"/>
          <w:sz w:val="24"/>
          <w:szCs w:val="18"/>
          <w:highlight w:val="none"/>
          <w:lang w:val="en-US" w:eastAsia="zh-CN"/>
        </w:rPr>
        <w:t>3.</w:t>
      </w:r>
      <w:r>
        <w:rPr>
          <w:rFonts w:hint="eastAsia" w:ascii="宋体" w:hAnsi="Times New Roman" w:eastAsia="宋体" w:cs="Times New Roman"/>
          <w:color w:val="auto"/>
          <w:sz w:val="24"/>
          <w:szCs w:val="18"/>
          <w:highlight w:val="none"/>
        </w:rPr>
        <w:t>响应时效：7*24小时全天候响应，24小时接受电话支持，报修后24小时内到达现场，排除故障或提供解决方案。</w:t>
      </w:r>
    </w:p>
    <w:p w14:paraId="7F669F19">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rPr>
      </w:pPr>
      <w:r>
        <w:rPr>
          <w:rFonts w:hint="eastAsia" w:ascii="宋体" w:hAnsi="Times New Roman" w:eastAsia="宋体" w:cs="Times New Roman"/>
          <w:color w:val="auto"/>
          <w:sz w:val="24"/>
          <w:szCs w:val="18"/>
          <w:highlight w:val="none"/>
          <w:lang w:val="en-US" w:eastAsia="zh-CN"/>
        </w:rPr>
        <w:t>4.</w:t>
      </w:r>
      <w:r>
        <w:rPr>
          <w:rFonts w:hint="eastAsia" w:ascii="宋体" w:hAnsi="Times New Roman" w:eastAsia="宋体" w:cs="Times New Roman"/>
          <w:color w:val="auto"/>
          <w:sz w:val="24"/>
          <w:szCs w:val="18"/>
          <w:highlight w:val="none"/>
        </w:rPr>
        <w:t>维修周期承诺：按故障级别，小修次日完成，零配件到库后中修</w:t>
      </w:r>
      <w:r>
        <w:rPr>
          <w:rFonts w:hint="eastAsia" w:ascii="宋体" w:hAnsi="Times New Roman" w:eastAsia="宋体" w:cs="Times New Roman"/>
          <w:color w:val="auto"/>
          <w:sz w:val="24"/>
          <w:szCs w:val="18"/>
          <w:highlight w:val="none"/>
          <w:lang w:val="en-US" w:eastAsia="zh-CN"/>
        </w:rPr>
        <w:t>3-5</w:t>
      </w:r>
      <w:r>
        <w:rPr>
          <w:rFonts w:hint="eastAsia" w:ascii="宋体" w:hAnsi="Times New Roman" w:eastAsia="宋体" w:cs="Times New Roman"/>
          <w:color w:val="auto"/>
          <w:sz w:val="24"/>
          <w:szCs w:val="18"/>
          <w:highlight w:val="none"/>
        </w:rPr>
        <w:t>日，大修</w:t>
      </w:r>
      <w:r>
        <w:rPr>
          <w:rFonts w:hint="eastAsia" w:ascii="宋体" w:hAnsi="Times New Roman" w:eastAsia="宋体" w:cs="Times New Roman"/>
          <w:color w:val="auto"/>
          <w:sz w:val="24"/>
          <w:szCs w:val="18"/>
          <w:highlight w:val="none"/>
          <w:lang w:val="en-US" w:eastAsia="zh-CN"/>
        </w:rPr>
        <w:t>5-10</w:t>
      </w:r>
      <w:r>
        <w:rPr>
          <w:rFonts w:hint="eastAsia" w:ascii="宋体" w:hAnsi="Times New Roman" w:eastAsia="宋体" w:cs="Times New Roman"/>
          <w:color w:val="auto"/>
          <w:sz w:val="24"/>
          <w:szCs w:val="18"/>
          <w:highlight w:val="none"/>
        </w:rPr>
        <w:t>日完成。</w:t>
      </w:r>
    </w:p>
    <w:p w14:paraId="2A8FFD77">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rPr>
      </w:pPr>
      <w:r>
        <w:rPr>
          <w:rFonts w:hint="eastAsia" w:ascii="宋体" w:hAnsi="Times New Roman" w:eastAsia="宋体" w:cs="Times New Roman"/>
          <w:color w:val="auto"/>
          <w:sz w:val="24"/>
          <w:szCs w:val="18"/>
          <w:highlight w:val="none"/>
          <w:lang w:val="en-US" w:eastAsia="zh-CN"/>
        </w:rPr>
        <w:t>5.</w:t>
      </w:r>
      <w:r>
        <w:rPr>
          <w:rFonts w:hint="eastAsia" w:ascii="宋体" w:hAnsi="Times New Roman" w:eastAsia="宋体" w:cs="Times New Roman"/>
          <w:color w:val="auto"/>
          <w:sz w:val="24"/>
          <w:szCs w:val="18"/>
          <w:highlight w:val="none"/>
        </w:rPr>
        <w:t>服务计划安排：</w:t>
      </w:r>
    </w:p>
    <w:p w14:paraId="20BEBAFA">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rPr>
      </w:pPr>
      <w:r>
        <w:rPr>
          <w:rFonts w:hint="eastAsia" w:ascii="宋体" w:hAnsi="Times New Roman" w:eastAsia="宋体" w:cs="Times New Roman"/>
          <w:color w:val="auto"/>
          <w:sz w:val="24"/>
          <w:szCs w:val="18"/>
          <w:highlight w:val="none"/>
          <w:lang w:val="en-US" w:eastAsia="zh-CN"/>
        </w:rPr>
        <w:t>5.</w:t>
      </w:r>
      <w:r>
        <w:rPr>
          <w:rFonts w:hint="eastAsia" w:ascii="宋体" w:hAnsi="Times New Roman" w:eastAsia="宋体" w:cs="Times New Roman"/>
          <w:color w:val="auto"/>
          <w:sz w:val="24"/>
          <w:szCs w:val="18"/>
          <w:highlight w:val="none"/>
        </w:rPr>
        <w:t>1例行预防性保养及安全检查：每年提供四次设备定期的预防性保养，针对易出故障采取必要的措施防止再发生。</w:t>
      </w:r>
    </w:p>
    <w:p w14:paraId="580451F1">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lang w:val="en-US" w:eastAsia="zh-CN"/>
        </w:rPr>
      </w:pPr>
      <w:r>
        <w:rPr>
          <w:rFonts w:hint="eastAsia" w:ascii="宋体" w:hAnsi="Times New Roman" w:eastAsia="宋体" w:cs="Times New Roman"/>
          <w:color w:val="auto"/>
          <w:sz w:val="24"/>
          <w:szCs w:val="18"/>
          <w:highlight w:val="none"/>
          <w:lang w:val="en-US" w:eastAsia="zh-CN"/>
        </w:rPr>
        <w:t>5.</w:t>
      </w:r>
      <w:r>
        <w:rPr>
          <w:rFonts w:hint="eastAsia" w:ascii="宋体" w:hAnsi="Times New Roman" w:eastAsia="宋体" w:cs="Times New Roman"/>
          <w:color w:val="auto"/>
          <w:sz w:val="24"/>
          <w:szCs w:val="18"/>
          <w:highlight w:val="none"/>
        </w:rPr>
        <w:t>2</w:t>
      </w:r>
      <w:r>
        <w:rPr>
          <w:rFonts w:hint="eastAsia" w:ascii="宋体" w:hAnsi="Times New Roman" w:eastAsia="宋体" w:cs="Times New Roman"/>
          <w:color w:val="auto"/>
          <w:sz w:val="24"/>
          <w:szCs w:val="18"/>
          <w:highlight w:val="none"/>
          <w:lang w:val="en-US" w:eastAsia="zh-CN"/>
        </w:rPr>
        <w:t>计划性定期的保养服务检测包括但不限于设备清洁、性能检测、校准、必要的机械和电气的检查，以及非紧急性质的补救性维护和确保系统能按照制造商的产品规格运行维护。</w:t>
      </w:r>
    </w:p>
    <w:p w14:paraId="193D6050">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rPr>
      </w:pPr>
      <w:r>
        <w:rPr>
          <w:rFonts w:hint="eastAsia" w:ascii="宋体" w:hAnsi="Times New Roman" w:eastAsia="宋体" w:cs="Times New Roman"/>
          <w:color w:val="auto"/>
          <w:sz w:val="24"/>
          <w:szCs w:val="18"/>
          <w:highlight w:val="none"/>
          <w:lang w:val="en-US" w:eastAsia="zh-CN"/>
        </w:rPr>
        <w:t>5.3</w:t>
      </w:r>
      <w:r>
        <w:rPr>
          <w:rFonts w:hint="eastAsia" w:ascii="宋体" w:hAnsi="Times New Roman" w:eastAsia="宋体" w:cs="Times New Roman"/>
          <w:color w:val="auto"/>
          <w:sz w:val="24"/>
          <w:szCs w:val="18"/>
          <w:highlight w:val="none"/>
        </w:rPr>
        <w:t>制定定期设备检查、维保保养时间表，并记录检查及维护保养结果，并由设备管理人员签字确认。</w:t>
      </w:r>
    </w:p>
    <w:p w14:paraId="389A52D9">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rPr>
      </w:pPr>
      <w:r>
        <w:rPr>
          <w:rFonts w:hint="eastAsia" w:ascii="宋体" w:hAnsi="Times New Roman" w:eastAsia="宋体" w:cs="Times New Roman"/>
          <w:color w:val="auto"/>
          <w:sz w:val="24"/>
          <w:szCs w:val="18"/>
          <w:highlight w:val="none"/>
          <w:lang w:val="en-US" w:eastAsia="zh-CN"/>
        </w:rPr>
        <w:t>5.4</w:t>
      </w:r>
      <w:r>
        <w:rPr>
          <w:rFonts w:hint="eastAsia" w:ascii="宋体" w:hAnsi="Times New Roman" w:eastAsia="宋体" w:cs="Times New Roman"/>
          <w:color w:val="auto"/>
          <w:sz w:val="24"/>
          <w:szCs w:val="18"/>
          <w:highlight w:val="none"/>
        </w:rPr>
        <w:t>配合年检：配合医院设备管理部门每年大型设备年检提供相关应有的记录资料，且负责把设备调试到最佳状态。</w:t>
      </w:r>
    </w:p>
    <w:p w14:paraId="779B50ED">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lang w:val="en-US" w:eastAsia="zh-CN"/>
        </w:rPr>
      </w:pPr>
      <w:r>
        <w:rPr>
          <w:rFonts w:hint="eastAsia" w:ascii="宋体" w:hAnsi="Times New Roman" w:eastAsia="宋体" w:cs="Times New Roman"/>
          <w:color w:val="auto"/>
          <w:sz w:val="24"/>
          <w:szCs w:val="18"/>
          <w:highlight w:val="none"/>
          <w:lang w:val="en-US" w:eastAsia="zh-CN"/>
        </w:rPr>
        <w:t>5.5提供在线支持、现场服务及零备件列换服务。</w:t>
      </w:r>
    </w:p>
    <w:p w14:paraId="64A5DF08">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hint="eastAsia" w:ascii="宋体" w:hAnsi="Times New Roman" w:eastAsia="宋体" w:cs="Times New Roman"/>
          <w:color w:val="auto"/>
          <w:sz w:val="24"/>
          <w:szCs w:val="18"/>
          <w:highlight w:val="none"/>
          <w:lang w:val="en-US" w:eastAsia="zh-CN"/>
        </w:rPr>
      </w:pPr>
      <w:r>
        <w:rPr>
          <w:rFonts w:hint="eastAsia" w:ascii="宋体" w:hAnsi="Times New Roman" w:eastAsia="宋体" w:cs="Times New Roman"/>
          <w:color w:val="auto"/>
          <w:sz w:val="24"/>
          <w:szCs w:val="18"/>
          <w:highlight w:val="none"/>
          <w:lang w:val="en-US" w:eastAsia="zh-CN"/>
        </w:rPr>
        <w:t>5.6设备开机率每年保证在95%及以上，即每年停机不超过 18天（一年 365 天计算），即停机时间每超出一天，维保服务合同期限自动延长三个自然日。</w:t>
      </w:r>
    </w:p>
    <w:p w14:paraId="1A77E105">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firstLine="720" w:firstLineChars="300"/>
        <w:textAlignment w:val="auto"/>
        <w:rPr>
          <w:rFonts w:hint="eastAsia" w:ascii="宋体" w:hAnsi="Times New Roman" w:eastAsia="宋体" w:cs="Times New Roman"/>
          <w:color w:val="auto"/>
          <w:sz w:val="24"/>
          <w:szCs w:val="18"/>
          <w:highlight w:val="none"/>
          <w:lang w:eastAsia="zh-CN"/>
        </w:rPr>
      </w:pPr>
      <w:r>
        <w:rPr>
          <w:rFonts w:hint="eastAsia" w:ascii="宋体" w:hAnsi="Times New Roman" w:eastAsia="宋体" w:cs="Times New Roman"/>
          <w:color w:val="auto"/>
          <w:sz w:val="24"/>
          <w:szCs w:val="18"/>
          <w:highlight w:val="none"/>
          <w:lang w:val="en-US" w:eastAsia="zh-CN"/>
        </w:rPr>
        <w:t>5.7</w:t>
      </w:r>
      <w:r>
        <w:rPr>
          <w:rFonts w:hint="eastAsia" w:ascii="宋体" w:hAnsi="Times New Roman" w:eastAsia="宋体" w:cs="Times New Roman"/>
          <w:color w:val="auto"/>
          <w:sz w:val="24"/>
          <w:szCs w:val="18"/>
          <w:highlight w:val="none"/>
        </w:rPr>
        <w:t>提供年度设备故障维修服务总结分析报告</w:t>
      </w:r>
      <w:r>
        <w:rPr>
          <w:rFonts w:hint="eastAsia" w:ascii="宋体" w:hAnsi="Times New Roman" w:eastAsia="宋体" w:cs="Times New Roman"/>
          <w:color w:val="auto"/>
          <w:sz w:val="24"/>
          <w:szCs w:val="18"/>
          <w:highlight w:val="none"/>
          <w:lang w:val="en-US" w:eastAsia="zh-CN"/>
        </w:rPr>
        <w:t>2份</w:t>
      </w:r>
      <w:r>
        <w:rPr>
          <w:rFonts w:hint="eastAsia" w:ascii="宋体" w:hAnsi="Times New Roman" w:eastAsia="宋体" w:cs="Times New Roman"/>
          <w:color w:val="auto"/>
          <w:sz w:val="24"/>
          <w:szCs w:val="18"/>
          <w:highlight w:val="none"/>
        </w:rPr>
        <w:t>，使用科室及设备管理部门</w:t>
      </w:r>
      <w:r>
        <w:rPr>
          <w:rFonts w:hint="eastAsia" w:ascii="宋体" w:hAnsi="Times New Roman" w:eastAsia="宋体" w:cs="Times New Roman"/>
          <w:color w:val="auto"/>
          <w:sz w:val="24"/>
          <w:szCs w:val="18"/>
          <w:highlight w:val="none"/>
          <w:lang w:val="en-US" w:eastAsia="zh-CN"/>
        </w:rPr>
        <w:t>留存</w:t>
      </w:r>
      <w:r>
        <w:rPr>
          <w:rFonts w:hint="eastAsia" w:ascii="宋体" w:hAnsi="Times New Roman" w:eastAsia="宋体" w:cs="Times New Roman"/>
          <w:color w:val="auto"/>
          <w:sz w:val="24"/>
          <w:szCs w:val="18"/>
          <w:highlight w:val="none"/>
          <w:lang w:eastAsia="zh-CN"/>
        </w:rPr>
        <w:t>。</w:t>
      </w:r>
    </w:p>
    <w:p w14:paraId="7DAFEBBB">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firstLine="720" w:firstLineChars="300"/>
        <w:textAlignment w:val="auto"/>
        <w:rPr>
          <w:rFonts w:hint="eastAsia" w:ascii="宋体" w:hAnsi="Times New Roman" w:eastAsia="宋体" w:cs="Times New Roman"/>
          <w:color w:val="auto"/>
          <w:sz w:val="24"/>
          <w:szCs w:val="18"/>
          <w:highlight w:val="none"/>
          <w:lang w:val="en-US" w:eastAsia="zh-CN"/>
        </w:rPr>
      </w:pPr>
      <w:r>
        <w:rPr>
          <w:rFonts w:hint="eastAsia" w:ascii="宋体" w:hAnsi="Times New Roman" w:eastAsia="宋体" w:cs="Times New Roman"/>
          <w:color w:val="auto"/>
          <w:sz w:val="24"/>
          <w:szCs w:val="18"/>
          <w:highlight w:val="none"/>
          <w:lang w:val="en-US" w:eastAsia="zh-CN"/>
        </w:rPr>
        <w:t>6.服务期限：自合同签订之日起2年。</w:t>
      </w:r>
    </w:p>
    <w:p w14:paraId="7F996466">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firstLine="240" w:firstLineChars="100"/>
        <w:textAlignment w:val="auto"/>
        <w:rPr>
          <w:rFonts w:hint="eastAsia" w:asciiTheme="majorEastAsia" w:hAnsiTheme="majorEastAsia" w:eastAsiaTheme="majorEastAsia"/>
          <w:color w:val="auto"/>
          <w:sz w:val="24"/>
          <w:szCs w:val="24"/>
          <w:lang w:val="en-US" w:eastAsia="zh-CN"/>
        </w:rPr>
      </w:pPr>
      <w:r>
        <w:rPr>
          <w:rFonts w:hint="eastAsia" w:asciiTheme="majorEastAsia" w:hAnsiTheme="majorEastAsia" w:eastAsiaTheme="majorEastAsia" w:cstheme="minorBidi"/>
          <w:color w:val="auto"/>
          <w:sz w:val="24"/>
          <w:szCs w:val="24"/>
          <w:lang w:val="en-US" w:eastAsia="zh-CN" w:bidi="ar-SA"/>
        </w:rPr>
        <w:t>（二）包2：X射线计算机体层摄影设备(CT)</w:t>
      </w:r>
      <w:r>
        <w:rPr>
          <w:rFonts w:hint="eastAsia" w:asciiTheme="majorEastAsia" w:hAnsiTheme="majorEastAsia" w:eastAsiaTheme="majorEastAsia"/>
          <w:color w:val="auto"/>
          <w:sz w:val="24"/>
          <w:szCs w:val="24"/>
          <w:lang w:val="en-US" w:eastAsia="zh-CN"/>
        </w:rPr>
        <w:t>服务要求</w:t>
      </w:r>
    </w:p>
    <w:p w14:paraId="18827B61">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textAlignment w:val="auto"/>
        <w:rPr>
          <w:rFonts w:hint="eastAsia" w:asciiTheme="majorEastAsia" w:hAnsiTheme="majorEastAsia" w:eastAsiaTheme="majorEastAsia"/>
          <w:color w:val="auto"/>
          <w:sz w:val="24"/>
          <w:szCs w:val="24"/>
        </w:rPr>
      </w:pPr>
      <w:r>
        <w:rPr>
          <w:rFonts w:hint="eastAsia" w:asciiTheme="majorEastAsia" w:hAnsiTheme="majorEastAsia" w:eastAsiaTheme="majorEastAsia"/>
          <w:color w:val="auto"/>
          <w:sz w:val="24"/>
          <w:szCs w:val="24"/>
          <w:lang w:val="en-US" w:eastAsia="zh-CN"/>
        </w:rPr>
        <w:t xml:space="preserve">     1.整机全保,</w:t>
      </w:r>
      <w:r>
        <w:rPr>
          <w:rFonts w:ascii="宋体" w:hAnsi="宋体" w:eastAsia="宋体" w:cs="宋体"/>
          <w:color w:val="auto"/>
          <w:sz w:val="24"/>
        </w:rPr>
        <w:t>包含球管、探测器、CT增强器等所有的配件维修和维保，不限次数人工服务</w:t>
      </w:r>
      <w:r>
        <w:rPr>
          <w:rFonts w:hint="eastAsia" w:ascii="宋体" w:hAnsi="宋体" w:eastAsia="宋体" w:cs="宋体"/>
          <w:color w:val="auto"/>
          <w:sz w:val="24"/>
        </w:rPr>
        <w:t>等产生</w:t>
      </w:r>
      <w:r>
        <w:rPr>
          <w:rFonts w:hint="eastAsia" w:asciiTheme="majorEastAsia" w:hAnsiTheme="majorEastAsia" w:eastAsiaTheme="majorEastAsia"/>
          <w:color w:val="auto"/>
          <w:sz w:val="24"/>
          <w:szCs w:val="24"/>
        </w:rPr>
        <w:t>的所有费用</w:t>
      </w:r>
      <w:r>
        <w:rPr>
          <w:rFonts w:hint="eastAsia" w:asciiTheme="majorEastAsia" w:hAnsiTheme="majorEastAsia" w:eastAsiaTheme="majorEastAsia"/>
          <w:color w:val="auto"/>
          <w:sz w:val="24"/>
          <w:szCs w:val="24"/>
          <w:lang w:val="en-US" w:eastAsia="zh-CN"/>
        </w:rPr>
        <w:t>由成交供应商承担</w:t>
      </w:r>
      <w:r>
        <w:rPr>
          <w:rFonts w:hint="eastAsia" w:asciiTheme="majorEastAsia" w:hAnsiTheme="majorEastAsia" w:eastAsiaTheme="majorEastAsia"/>
          <w:color w:val="auto"/>
          <w:sz w:val="24"/>
          <w:szCs w:val="24"/>
        </w:rPr>
        <w:t>（配件是指设备出厂清单上所有的项目内容</w:t>
      </w:r>
      <w:r>
        <w:rPr>
          <w:rFonts w:hint="eastAsia" w:asciiTheme="majorEastAsia" w:hAnsiTheme="majorEastAsia" w:eastAsiaTheme="majorEastAsia"/>
          <w:color w:val="auto"/>
          <w:sz w:val="24"/>
          <w:szCs w:val="24"/>
          <w:lang w:eastAsia="zh-CN"/>
        </w:rPr>
        <w:t>，</w:t>
      </w:r>
      <w:r>
        <w:rPr>
          <w:rFonts w:hint="eastAsia" w:asciiTheme="majorEastAsia" w:hAnsiTheme="majorEastAsia" w:eastAsiaTheme="majorEastAsia" w:cstheme="minorBidi"/>
          <w:color w:val="auto"/>
          <w:sz w:val="24"/>
          <w:szCs w:val="24"/>
          <w:lang w:val="en-US" w:eastAsia="zh-CN" w:bidi="ar-SA"/>
        </w:rPr>
        <w:t>供应商确保所提供的配件是与原设备型号一致的原厂备件，安装完毕后达到设备运行标准，供货渠道畅通（每周七天，每天24小时，不分节假日</w:t>
      </w:r>
      <w:r>
        <w:rPr>
          <w:rFonts w:hint="eastAsia" w:asciiTheme="majorEastAsia" w:hAnsiTheme="majorEastAsia" w:eastAsiaTheme="majorEastAsia"/>
          <w:color w:val="auto"/>
          <w:sz w:val="24"/>
          <w:szCs w:val="24"/>
        </w:rPr>
        <w:t>）。更换配件</w:t>
      </w:r>
      <w:r>
        <w:rPr>
          <w:rFonts w:hint="eastAsia" w:asciiTheme="majorEastAsia" w:hAnsiTheme="majorEastAsia" w:eastAsiaTheme="majorEastAsia"/>
          <w:color w:val="auto"/>
          <w:sz w:val="24"/>
          <w:szCs w:val="24"/>
          <w:lang w:val="en-US" w:eastAsia="zh-CN"/>
        </w:rPr>
        <w:t>后</w:t>
      </w:r>
      <w:r>
        <w:rPr>
          <w:rFonts w:hint="eastAsia" w:asciiTheme="majorEastAsia" w:hAnsiTheme="majorEastAsia" w:eastAsiaTheme="majorEastAsia"/>
          <w:color w:val="auto"/>
          <w:sz w:val="24"/>
          <w:szCs w:val="24"/>
        </w:rPr>
        <w:t>的</w:t>
      </w:r>
      <w:r>
        <w:rPr>
          <w:rFonts w:hint="eastAsia" w:asciiTheme="majorEastAsia" w:hAnsiTheme="majorEastAsia" w:eastAsiaTheme="majorEastAsia"/>
          <w:color w:val="auto"/>
          <w:sz w:val="24"/>
          <w:szCs w:val="24"/>
          <w:lang w:val="en-US" w:eastAsia="zh-CN"/>
        </w:rPr>
        <w:t>CT</w:t>
      </w:r>
      <w:r>
        <w:rPr>
          <w:rFonts w:hint="eastAsia" w:asciiTheme="majorEastAsia" w:hAnsiTheme="majorEastAsia" w:eastAsiaTheme="majorEastAsia"/>
          <w:color w:val="auto"/>
          <w:sz w:val="24"/>
          <w:szCs w:val="24"/>
        </w:rPr>
        <w:t>需做功能检测并出具相关报告。</w:t>
      </w:r>
    </w:p>
    <w:p w14:paraId="20872BD0">
      <w:pPr>
        <w:pStyle w:val="11"/>
        <w:keepNext w:val="0"/>
        <w:keepLines w:val="0"/>
        <w:pageBreakBefore w:val="0"/>
        <w:kinsoku/>
        <w:wordWrap/>
        <w:overflowPunct/>
        <w:topLinePunct w:val="0"/>
        <w:autoSpaceDE/>
        <w:autoSpaceDN/>
        <w:bidi w:val="0"/>
        <w:spacing w:line="440" w:lineRule="exact"/>
        <w:ind w:firstLine="480" w:firstLineChars="200"/>
        <w:textAlignment w:val="auto"/>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olor w:val="auto"/>
          <w:sz w:val="24"/>
          <w:szCs w:val="24"/>
          <w:lang w:val="en-US" w:eastAsia="zh-CN"/>
        </w:rPr>
        <w:t>2.</w:t>
      </w:r>
      <w:r>
        <w:rPr>
          <w:rFonts w:hint="eastAsia" w:asciiTheme="majorEastAsia" w:hAnsiTheme="majorEastAsia" w:eastAsiaTheme="majorEastAsia" w:cstheme="minorBidi"/>
          <w:color w:val="auto"/>
          <w:sz w:val="24"/>
          <w:szCs w:val="24"/>
          <w:lang w:val="en-US" w:eastAsia="zh-CN"/>
        </w:rPr>
        <w:t>响应时间15分钟内，</w:t>
      </w:r>
      <w:r>
        <w:rPr>
          <w:rFonts w:ascii="宋体" w:hAnsi="宋体" w:eastAsia="宋体" w:cs="宋体"/>
          <w:color w:val="auto"/>
          <w:sz w:val="24"/>
          <w:szCs w:val="24"/>
        </w:rPr>
        <w:t>30 分钟内回复处理方案</w:t>
      </w:r>
      <w:r>
        <w:rPr>
          <w:rFonts w:hint="eastAsia" w:asciiTheme="majorEastAsia" w:hAnsiTheme="majorEastAsia" w:eastAsiaTheme="majorEastAsia" w:cstheme="minorBidi"/>
          <w:color w:val="auto"/>
          <w:sz w:val="24"/>
          <w:szCs w:val="24"/>
          <w:lang w:val="en-US" w:eastAsia="zh-CN"/>
        </w:rPr>
        <w:t>；若需现场处理，4小时内到达现场。</w:t>
      </w:r>
    </w:p>
    <w:p w14:paraId="53F7427C">
      <w:pPr>
        <w:keepNext w:val="0"/>
        <w:keepLines w:val="0"/>
        <w:pageBreakBefore w:val="0"/>
        <w:widowControl/>
        <w:kinsoku/>
        <w:wordWrap/>
        <w:overflowPunct/>
        <w:topLinePunct w:val="0"/>
        <w:autoSpaceDE/>
        <w:autoSpaceDN/>
        <w:bidi w:val="0"/>
        <w:adjustRightInd w:val="0"/>
        <w:snapToGrid w:val="0"/>
        <w:spacing w:after="200" w:line="440" w:lineRule="exact"/>
        <w:ind w:firstLine="480" w:firstLineChars="200"/>
        <w:textAlignment w:val="auto"/>
        <w:rPr>
          <w:rFonts w:hint="default" w:asciiTheme="majorEastAsia" w:hAnsiTheme="majorEastAsia" w:eastAsiaTheme="majorEastAsia"/>
          <w:color w:val="auto"/>
          <w:sz w:val="24"/>
          <w:szCs w:val="24"/>
          <w:lang w:val="en-US" w:eastAsia="zh-CN"/>
        </w:rPr>
      </w:pPr>
      <w:r>
        <w:rPr>
          <w:rFonts w:hint="eastAsia" w:asciiTheme="majorEastAsia" w:hAnsiTheme="majorEastAsia" w:eastAsiaTheme="majorEastAsia" w:cstheme="minorBidi"/>
          <w:color w:val="auto"/>
          <w:sz w:val="24"/>
          <w:szCs w:val="24"/>
          <w:lang w:val="en-US" w:eastAsia="zh-CN" w:bidi="ar-SA"/>
        </w:rPr>
        <w:t>3.软硬件安全升级：在保修服务期内免费提供设备的软硬件安全升级，免费提供设备的系统软件升级补丁和技术支持，以提高设备的安全性和性能稳定。并提供所有升级资料和记录。</w:t>
      </w:r>
    </w:p>
    <w:p w14:paraId="78411B25">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eastAsia" w:asciiTheme="majorEastAsia" w:hAnsiTheme="majorEastAsia" w:eastAsiaTheme="majorEastAsia"/>
          <w:color w:val="auto"/>
          <w:sz w:val="24"/>
          <w:szCs w:val="24"/>
          <w:lang w:val="en-US" w:eastAsia="zh-CN"/>
        </w:rPr>
      </w:pPr>
      <w:r>
        <w:rPr>
          <w:rFonts w:hint="eastAsia" w:asciiTheme="majorEastAsia" w:hAnsiTheme="majorEastAsia" w:eastAsiaTheme="majorEastAsia"/>
          <w:color w:val="auto"/>
          <w:sz w:val="24"/>
          <w:szCs w:val="24"/>
          <w:lang w:val="en-US" w:eastAsia="zh-CN"/>
        </w:rPr>
        <w:t>4.定期维保：成交供应商提供维保设备每年</w:t>
      </w:r>
      <w:r>
        <w:rPr>
          <w:rFonts w:ascii="宋体" w:hAnsi="宋体" w:eastAsia="宋体" w:cs="宋体"/>
          <w:color w:val="auto"/>
          <w:sz w:val="24"/>
        </w:rPr>
        <w:t>提供12次巡检</w:t>
      </w:r>
      <w:r>
        <w:rPr>
          <w:rFonts w:hint="eastAsia" w:ascii="宋体" w:hAnsi="宋体" w:eastAsia="宋体" w:cs="宋体"/>
          <w:color w:val="auto"/>
          <w:sz w:val="24"/>
          <w:lang w:eastAsia="zh-CN"/>
        </w:rPr>
        <w:t>，</w:t>
      </w:r>
      <w:r>
        <w:rPr>
          <w:rFonts w:hint="eastAsia" w:asciiTheme="majorEastAsia" w:hAnsiTheme="majorEastAsia" w:eastAsiaTheme="majorEastAsia"/>
          <w:color w:val="auto"/>
          <w:sz w:val="24"/>
          <w:szCs w:val="24"/>
          <w:lang w:val="en-US" w:eastAsia="zh-CN"/>
        </w:rPr>
        <w:t>4次设备维护保养服务，一季度保养一次，不限次数现场巡检维修服务，并提供维修维护保养报告。</w:t>
      </w:r>
    </w:p>
    <w:p w14:paraId="20B7C3F7">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5.根据仪器设备的性能要求，对仪器设备进行整机除尘和清洁，并进行性能检测，更换易损部件，检查设备的稳压状况和接地情况是否良好等。预防性维护包括：</w:t>
      </w:r>
    </w:p>
    <w:p w14:paraId="5EF38F70">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ascii="宋体" w:hAnsi="宋体" w:eastAsia="宋体" w:cs="宋体"/>
          <w:color w:val="auto"/>
          <w:sz w:val="24"/>
        </w:rPr>
        <w:t>①外观检查：外观检查首先检查设备各按钮、开关、接头插座有无松动及错误，接头插座的接触有无氧化、生锈或接触不良，电源线有无老化，散热排风是否正常，各种接地的连接盒管道的连接是否良好。</w:t>
      </w:r>
    </w:p>
    <w:p w14:paraId="50174FDF">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ascii="宋体" w:hAnsi="宋体" w:eastAsia="宋体" w:cs="宋体"/>
          <w:color w:val="auto"/>
          <w:sz w:val="24"/>
        </w:rPr>
        <w:t>②清洁保养：是对设备表面与内部电气部分、机械部分进行清洁，包括清洗过滤网及有关管道，对仪器有关插头插座进行清洁，防止接触不良，对必要的机械部分进行加润滑油。</w:t>
      </w:r>
    </w:p>
    <w:p w14:paraId="7087A429">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ascii="宋体" w:hAnsi="宋体" w:eastAsia="宋体" w:cs="宋体"/>
          <w:color w:val="auto"/>
          <w:sz w:val="24"/>
        </w:rPr>
        <w:t>③更换易损件：对已达到使用寿命及性能下降，不合要求的元器件或使用说明书中规定的要求定期跟换的配件要进行及时的更换，排除设备明显的和潜在的各种故障，预防可能发生的故障扩大或造成整机故障。</w:t>
      </w:r>
    </w:p>
    <w:p w14:paraId="75BDE0A0">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ascii="宋体" w:hAnsi="宋体" w:eastAsia="宋体" w:cs="宋体"/>
          <w:color w:val="auto"/>
          <w:sz w:val="24"/>
        </w:rPr>
        <w:t>④功能检查：开机检查各指示灯、指示器是否正常，通过调节、设置各个开关按钮、进入各功能设置。</w:t>
      </w:r>
    </w:p>
    <w:p w14:paraId="4B09D697">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ascii="宋体" w:hAnsi="宋体" w:eastAsia="宋体" w:cs="宋体"/>
          <w:color w:val="auto"/>
          <w:sz w:val="24"/>
        </w:rPr>
        <w:t>⑤性能测试校准：测试各直流电源的稳压值、以保证仪器各项技术指标达到标准，确保设备符合医疗诊断标准。</w:t>
      </w:r>
    </w:p>
    <w:p w14:paraId="1624DF92">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ascii="宋体" w:hAnsi="宋体" w:eastAsia="宋体" w:cs="宋体"/>
          <w:color w:val="auto"/>
          <w:sz w:val="24"/>
        </w:rPr>
        <w:t>⑥电气安全检查：检查各种引线、插头、连接器等有无破损，接地线是否牢靠，接地电阻和漏电电流是否在允许限度内。</w:t>
      </w:r>
    </w:p>
    <w:p w14:paraId="1930FDF1">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ascii="宋体" w:hAnsi="宋体" w:eastAsia="宋体" w:cs="宋体"/>
          <w:color w:val="auto"/>
          <w:sz w:val="24"/>
        </w:rPr>
        <w:t>⑦机械检查：检查机架是否牢固，机械运转是否正常，各连接部件有无松动、脱落或破裂现象。</w:t>
      </w:r>
    </w:p>
    <w:p w14:paraId="3D31E59A">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ascii="宋体" w:hAnsi="宋体" w:eastAsia="宋体" w:cs="宋体"/>
          <w:color w:val="auto"/>
          <w:sz w:val="24"/>
        </w:rPr>
        <w:t>⑧设备巡查：巡查是对设备的运行情况、磨损和老化程度进行检查，以便早期发现设备存在的隐患，及时进行修理，避免或减少突发故障，提高设备使用率。</w:t>
      </w:r>
    </w:p>
    <w:p w14:paraId="3D3D2F39">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lang w:val="en-US" w:eastAsia="zh-CN"/>
        </w:rPr>
      </w:pPr>
      <w:r>
        <w:rPr>
          <w:rFonts w:ascii="宋体" w:hAnsi="宋体" w:eastAsia="宋体" w:cs="宋体"/>
          <w:color w:val="auto"/>
          <w:sz w:val="24"/>
        </w:rPr>
        <w:t>⑨设备摆放位置检查、设备外观检查、设备开机运行状态（功能、性能、噪音等）检查、设备安全检查、使用人员操作设备情况检查、同时询问设备日常使用人员有关设备的日常使用与保养的情况，做好相关记录。</w:t>
      </w:r>
    </w:p>
    <w:p w14:paraId="31DBA825">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6.</w:t>
      </w:r>
      <w:r>
        <w:rPr>
          <w:rFonts w:ascii="宋体" w:hAnsi="宋体" w:eastAsia="宋体" w:cs="宋体"/>
          <w:color w:val="auto"/>
          <w:sz w:val="24"/>
        </w:rPr>
        <w:t>深度保养标准:使之保持原厂质量标准或国家权威质量计监部门之标准，并提供技术支持维保工程师审核合格的定期保养报告，提前一周与医院协商定期保养时间，并向医院提交《定期保养计划表》。</w:t>
      </w:r>
      <w:r>
        <w:rPr>
          <w:rFonts w:hint="eastAsia" w:ascii="宋体" w:hAnsi="宋体" w:eastAsia="宋体" w:cs="宋体"/>
          <w:color w:val="auto"/>
          <w:sz w:val="24"/>
          <w:lang w:val="en-US" w:eastAsia="zh-CN"/>
        </w:rPr>
        <w:t>每次保养或维修后必须提供规范完整的服务报告，报告须体现保养或维修内容，该报告必须三方（供应商、使用科室、装备物资部）相关人员签字认可。报告一式两份，医院和供应商各执一份。</w:t>
      </w:r>
    </w:p>
    <w:p w14:paraId="5348BB5A">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ascii="宋体" w:hAnsi="宋体" w:eastAsia="宋体" w:cs="宋体"/>
          <w:color w:val="auto"/>
          <w:sz w:val="24"/>
        </w:rPr>
      </w:pPr>
      <w:r>
        <w:rPr>
          <w:rFonts w:hint="eastAsia" w:ascii="宋体" w:hAnsi="宋体" w:eastAsia="宋体" w:cs="宋体"/>
          <w:color w:val="auto"/>
          <w:sz w:val="24"/>
          <w:lang w:val="en-US" w:eastAsia="zh-CN"/>
        </w:rPr>
        <w:t>7.如设备不涉及零配件更换，应在1日内维修完毕；如涉及到零配件更换，应在3日内完成，</w:t>
      </w:r>
      <w:r>
        <w:rPr>
          <w:rFonts w:hint="eastAsia" w:ascii="宋体" w:hAnsi="宋体" w:eastAsia="宋体" w:cs="宋体"/>
          <w:color w:val="auto"/>
          <w:sz w:val="24"/>
        </w:rPr>
        <w:t>保证</w:t>
      </w:r>
      <w:r>
        <w:rPr>
          <w:rFonts w:hint="eastAsia" w:ascii="宋体" w:hAnsi="宋体" w:eastAsia="宋体" w:cs="宋体"/>
          <w:color w:val="auto"/>
          <w:sz w:val="24"/>
          <w:lang w:val="en-US" w:eastAsia="zh-CN"/>
        </w:rPr>
        <w:t>CT的</w:t>
      </w:r>
      <w:r>
        <w:rPr>
          <w:rFonts w:ascii="宋体" w:hAnsi="宋体" w:eastAsia="宋体" w:cs="宋体"/>
          <w:color w:val="auto"/>
          <w:sz w:val="24"/>
        </w:rPr>
        <w:t>开机率≥97％，即每年停机不超过 10 天（一年 365 天）。若开机率低于9</w:t>
      </w:r>
      <w:r>
        <w:rPr>
          <w:rFonts w:hint="eastAsia" w:ascii="宋体" w:hAnsi="宋体" w:eastAsia="宋体" w:cs="宋体"/>
          <w:color w:val="auto"/>
          <w:sz w:val="24"/>
          <w:lang w:val="en-US" w:eastAsia="zh-CN"/>
        </w:rPr>
        <w:t>7</w:t>
      </w:r>
      <w:r>
        <w:rPr>
          <w:rFonts w:ascii="宋体" w:hAnsi="宋体" w:eastAsia="宋体" w:cs="宋体"/>
          <w:color w:val="auto"/>
          <w:sz w:val="24"/>
        </w:rPr>
        <w:t>%，即停机时间每超出一天，维保服务合同期限自动延长三个自然日。</w:t>
      </w:r>
    </w:p>
    <w:p w14:paraId="26B7549C">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8.</w:t>
      </w:r>
      <w:r>
        <w:rPr>
          <w:rFonts w:hint="default" w:ascii="宋体" w:hAnsi="宋体" w:eastAsia="宋体" w:cs="宋体"/>
          <w:color w:val="auto"/>
          <w:sz w:val="24"/>
          <w:lang w:val="en-US" w:eastAsia="zh-CN"/>
        </w:rPr>
        <w:t>协助医院相关人员进行设备的年检工作。协助医院相关管理部门汇总、填制等级医院评审资料。</w:t>
      </w:r>
    </w:p>
    <w:p w14:paraId="16F48181">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9.档案管理：设备入保后，建立《医疗设备保修档案册》，该档案册需及时更新，其中包括保修合同、设备信息、保养维护报告、检测报告、维修报告、配件更换明细等，方便医院随时了解在保设备情况，所有报告成册交医院装备物资部和放射科各一份。</w:t>
      </w:r>
    </w:p>
    <w:p w14:paraId="5630F5FB">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10.</w:t>
      </w:r>
      <w:r>
        <w:rPr>
          <w:rFonts w:hint="default" w:ascii="宋体" w:hAnsi="宋体" w:eastAsia="宋体" w:cs="宋体"/>
          <w:color w:val="auto"/>
          <w:sz w:val="24"/>
          <w:lang w:val="en-US" w:eastAsia="zh-CN"/>
        </w:rPr>
        <w:t>供应商具备专业服务团队，其中有经原厂培训合格的工程师或具有相关医疗设备培训机构颁发的培训证书。</w:t>
      </w:r>
    </w:p>
    <w:p w14:paraId="7611C124">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11.</w:t>
      </w:r>
      <w:r>
        <w:rPr>
          <w:rFonts w:hint="default" w:ascii="宋体" w:hAnsi="宋体" w:eastAsia="宋体" w:cs="宋体"/>
          <w:color w:val="auto"/>
          <w:sz w:val="24"/>
          <w:lang w:val="en-US" w:eastAsia="zh-CN"/>
        </w:rPr>
        <w:t>供应商</w:t>
      </w:r>
      <w:r>
        <w:rPr>
          <w:rFonts w:hint="eastAsia" w:ascii="宋体" w:hAnsi="宋体" w:eastAsia="宋体" w:cs="宋体"/>
          <w:color w:val="auto"/>
          <w:sz w:val="24"/>
          <w:lang w:val="en-US" w:eastAsia="zh-CN"/>
        </w:rPr>
        <w:t>必须提供专人</w:t>
      </w:r>
      <w:r>
        <w:rPr>
          <w:rFonts w:hint="default" w:ascii="宋体" w:hAnsi="宋体" w:eastAsia="宋体" w:cs="宋体"/>
          <w:color w:val="auto"/>
          <w:sz w:val="24"/>
          <w:lang w:val="en-US" w:eastAsia="zh-CN"/>
        </w:rPr>
        <w:t>服务电话</w:t>
      </w:r>
      <w:r>
        <w:rPr>
          <w:rFonts w:hint="eastAsia" w:ascii="宋体" w:hAnsi="宋体" w:eastAsia="宋体" w:cs="宋体"/>
          <w:color w:val="auto"/>
          <w:sz w:val="24"/>
          <w:lang w:val="en-US" w:eastAsia="zh-CN"/>
        </w:rPr>
        <w:t>，</w:t>
      </w:r>
      <w:r>
        <w:rPr>
          <w:rFonts w:hint="default" w:ascii="宋体" w:hAnsi="宋体" w:eastAsia="宋体" w:cs="宋体"/>
          <w:color w:val="auto"/>
          <w:sz w:val="24"/>
          <w:lang w:val="en-US" w:eastAsia="zh-CN"/>
        </w:rPr>
        <w:t>全天24小时</w:t>
      </w:r>
      <w:r>
        <w:rPr>
          <w:rFonts w:hint="eastAsia" w:ascii="宋体" w:hAnsi="宋体" w:eastAsia="宋体" w:cs="宋体"/>
          <w:color w:val="auto"/>
          <w:sz w:val="24"/>
          <w:lang w:val="en-US" w:eastAsia="zh-CN"/>
        </w:rPr>
        <w:t>有人接听</w:t>
      </w:r>
      <w:r>
        <w:rPr>
          <w:rFonts w:hint="default" w:ascii="宋体" w:hAnsi="宋体" w:eastAsia="宋体" w:cs="宋体"/>
          <w:color w:val="auto"/>
          <w:sz w:val="24"/>
          <w:lang w:val="en-US" w:eastAsia="zh-CN"/>
        </w:rPr>
        <w:t>。</w:t>
      </w:r>
    </w:p>
    <w:p w14:paraId="22B980D5">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12.</w:t>
      </w:r>
      <w:r>
        <w:rPr>
          <w:rFonts w:hint="default" w:ascii="宋体" w:hAnsi="宋体" w:eastAsia="宋体" w:cs="宋体"/>
          <w:color w:val="auto"/>
          <w:sz w:val="24"/>
          <w:lang w:val="en-US" w:eastAsia="zh-CN"/>
        </w:rPr>
        <w:t>供应商必须具有设备维修涉及的专业维修工具。</w:t>
      </w:r>
    </w:p>
    <w:p w14:paraId="080179B0">
      <w:pPr>
        <w:keepNext w:val="0"/>
        <w:keepLines w:val="0"/>
        <w:pageBreakBefore w:val="0"/>
        <w:widowControl/>
        <w:kinsoku/>
        <w:wordWrap/>
        <w:overflowPunct/>
        <w:topLinePunct w:val="0"/>
        <w:autoSpaceDE/>
        <w:autoSpaceDN/>
        <w:bidi w:val="0"/>
        <w:adjustRightInd w:val="0"/>
        <w:snapToGrid w:val="0"/>
        <w:spacing w:after="200" w:line="440" w:lineRule="exact"/>
        <w:ind w:firstLine="480" w:firstLineChars="200"/>
        <w:textAlignment w:val="auto"/>
        <w:rPr>
          <w:rFonts w:hint="default"/>
          <w:color w:val="auto"/>
          <w:lang w:val="en-US" w:eastAsia="zh-CN"/>
        </w:rPr>
      </w:pPr>
      <w:r>
        <w:rPr>
          <w:rFonts w:hint="eastAsia" w:ascii="宋体" w:hAnsi="宋体" w:eastAsia="宋体" w:cs="宋体"/>
          <w:color w:val="auto"/>
          <w:sz w:val="24"/>
          <w:szCs w:val="22"/>
          <w:lang w:val="en-US" w:eastAsia="zh-CN" w:bidi="ar-SA"/>
        </w:rPr>
        <w:t>13.服务期限：</w:t>
      </w:r>
      <w:r>
        <w:rPr>
          <w:rFonts w:hint="eastAsia" w:ascii="宋体" w:hAnsi="Times New Roman" w:eastAsia="宋体" w:cs="Times New Roman"/>
          <w:color w:val="auto"/>
          <w:sz w:val="24"/>
          <w:szCs w:val="18"/>
          <w:highlight w:val="none"/>
          <w:lang w:val="en-US" w:eastAsia="zh-CN"/>
        </w:rPr>
        <w:t>自合同签订之日起3年。</w:t>
      </w:r>
    </w:p>
    <w:p w14:paraId="4E8BCA0D">
      <w:pPr>
        <w:keepNext w:val="0"/>
        <w:keepLines w:val="0"/>
        <w:pageBreakBefore w:val="0"/>
        <w:widowControl/>
        <w:kinsoku/>
        <w:wordWrap/>
        <w:overflowPunct/>
        <w:topLinePunct w:val="0"/>
        <w:autoSpaceDE/>
        <w:autoSpaceDN/>
        <w:bidi w:val="0"/>
        <w:adjustRightInd w:val="0"/>
        <w:snapToGrid w:val="0"/>
        <w:textAlignment w:val="auto"/>
        <w:rPr>
          <w:rFonts w:hint="eastAsia" w:asciiTheme="majorEastAsia" w:hAnsiTheme="majorEastAsia" w:eastAsiaTheme="majorEastAsia"/>
          <w:b/>
          <w:bCs/>
          <w:sz w:val="24"/>
          <w:szCs w:val="24"/>
          <w:lang w:val="en-US" w:eastAsia="zh-CN"/>
        </w:rPr>
      </w:pPr>
      <w:r>
        <w:rPr>
          <w:rFonts w:hint="eastAsia" w:asciiTheme="majorEastAsia" w:hAnsiTheme="majorEastAsia" w:eastAsiaTheme="majorEastAsia"/>
          <w:b/>
          <w:bCs/>
          <w:sz w:val="24"/>
          <w:szCs w:val="24"/>
          <w:lang w:val="en-US" w:eastAsia="zh-CN"/>
        </w:rPr>
        <w:t>三、提交资料时间</w:t>
      </w:r>
    </w:p>
    <w:p w14:paraId="0D53A559">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2025年12月18日至2025年12月26日 17:00截止。</w:t>
      </w:r>
    </w:p>
    <w:p w14:paraId="77DA28D0">
      <w:pPr>
        <w:keepNext w:val="0"/>
        <w:keepLines w:val="0"/>
        <w:pageBreakBefore w:val="0"/>
        <w:widowControl/>
        <w:kinsoku/>
        <w:wordWrap/>
        <w:overflowPunct/>
        <w:topLinePunct w:val="0"/>
        <w:autoSpaceDE/>
        <w:autoSpaceDN/>
        <w:bidi w:val="0"/>
        <w:adjustRightInd w:val="0"/>
        <w:snapToGrid w:val="0"/>
        <w:textAlignment w:val="auto"/>
        <w:rPr>
          <w:rFonts w:hint="eastAsia" w:asciiTheme="majorEastAsia" w:hAnsiTheme="majorEastAsia" w:eastAsiaTheme="majorEastAsia"/>
          <w:b/>
          <w:bCs/>
          <w:sz w:val="24"/>
          <w:szCs w:val="24"/>
          <w:lang w:val="en-US" w:eastAsia="zh-CN"/>
        </w:rPr>
      </w:pPr>
      <w:r>
        <w:rPr>
          <w:rFonts w:hint="eastAsia" w:asciiTheme="majorEastAsia" w:hAnsiTheme="majorEastAsia" w:eastAsiaTheme="majorEastAsia"/>
          <w:b/>
          <w:bCs/>
          <w:sz w:val="24"/>
          <w:szCs w:val="24"/>
          <w:lang w:val="en-US" w:eastAsia="zh-CN"/>
        </w:rPr>
        <w:t>四、提交资料要求及递交方式</w:t>
      </w:r>
    </w:p>
    <w:p w14:paraId="37DE3ECD">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default" w:asciiTheme="majorEastAsia" w:hAnsiTheme="majorEastAsia" w:eastAsiaTheme="majorEastAsia"/>
          <w:color w:val="auto"/>
          <w:sz w:val="24"/>
          <w:szCs w:val="24"/>
          <w:lang w:val="en-US" w:eastAsia="zh-CN"/>
        </w:rPr>
      </w:pPr>
      <w:r>
        <w:rPr>
          <w:rFonts w:hint="eastAsia" w:asciiTheme="majorEastAsia" w:hAnsiTheme="majorEastAsia" w:eastAsiaTheme="majorEastAsia"/>
          <w:color w:val="auto"/>
          <w:sz w:val="24"/>
          <w:szCs w:val="24"/>
          <w:lang w:val="en-US" w:eastAsia="zh-CN"/>
        </w:rPr>
        <w:t>1.报名表（附件1）</w:t>
      </w:r>
    </w:p>
    <w:p w14:paraId="07335228">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2.公司营业执照副本复印件。</w:t>
      </w:r>
    </w:p>
    <w:p w14:paraId="5F224B11">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3.法定代表人身份证正反两面复印件。</w:t>
      </w:r>
    </w:p>
    <w:p w14:paraId="0BE6F666">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4.报名人员资质证明，包括：法定代表人授权委托书（法定代表人报名除外），身份证正反两面复印件,手机号码。</w:t>
      </w:r>
    </w:p>
    <w:p w14:paraId="68E29037">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color w:val="auto"/>
          <w:sz w:val="24"/>
          <w:szCs w:val="24"/>
          <w:lang w:val="en-US" w:eastAsia="zh-CN"/>
        </w:rPr>
      </w:pPr>
      <w:r>
        <w:rPr>
          <w:rFonts w:hint="eastAsia" w:asciiTheme="majorEastAsia" w:hAnsiTheme="majorEastAsia" w:eastAsiaTheme="majorEastAsia"/>
          <w:color w:val="auto"/>
          <w:sz w:val="24"/>
          <w:szCs w:val="24"/>
          <w:lang w:val="en-US" w:eastAsia="zh-CN"/>
        </w:rPr>
        <w:t>5.报价目录（附件2）。</w:t>
      </w:r>
    </w:p>
    <w:p w14:paraId="682EBFD3">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color w:val="auto"/>
          <w:sz w:val="24"/>
          <w:szCs w:val="24"/>
          <w:lang w:val="en-US" w:eastAsia="zh-CN"/>
        </w:rPr>
      </w:pPr>
      <w:r>
        <w:rPr>
          <w:rFonts w:hint="eastAsia" w:asciiTheme="majorEastAsia" w:hAnsiTheme="majorEastAsia" w:eastAsiaTheme="majorEastAsia"/>
          <w:color w:val="auto"/>
          <w:sz w:val="24"/>
          <w:szCs w:val="24"/>
          <w:lang w:val="en-US" w:eastAsia="zh-CN"/>
        </w:rPr>
        <w:t>6.服务承诺。（格式自拟）</w:t>
      </w:r>
    </w:p>
    <w:p w14:paraId="777E0DFF">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default" w:asciiTheme="majorEastAsia" w:hAnsiTheme="majorEastAsia" w:eastAsiaTheme="majorEastAsia"/>
          <w:color w:val="0000FF"/>
          <w:sz w:val="24"/>
          <w:szCs w:val="24"/>
          <w:lang w:val="en-US" w:eastAsia="zh-CN"/>
        </w:rPr>
      </w:pPr>
      <w:r>
        <w:rPr>
          <w:rFonts w:hint="eastAsia" w:asciiTheme="majorEastAsia" w:hAnsiTheme="majorEastAsia" w:eastAsiaTheme="majorEastAsia"/>
          <w:color w:val="auto"/>
          <w:sz w:val="24"/>
          <w:szCs w:val="24"/>
          <w:lang w:val="en-US" w:eastAsia="zh-CN"/>
        </w:rPr>
        <w:t>7.服务方案，包含但不限于①服务实施计划及流程、②技术支持方案、③服务质量保障措施、④日常管理及本项目管理制度、⑤巡检制度等。（格式自拟）</w:t>
      </w:r>
    </w:p>
    <w:p w14:paraId="77C4057E">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color w:val="auto"/>
          <w:sz w:val="24"/>
          <w:szCs w:val="24"/>
          <w:lang w:val="en-US" w:eastAsia="zh-CN"/>
        </w:rPr>
      </w:pPr>
      <w:r>
        <w:rPr>
          <w:rFonts w:hint="eastAsia" w:asciiTheme="majorEastAsia" w:hAnsiTheme="majorEastAsia" w:eastAsiaTheme="majorEastAsia"/>
          <w:color w:val="auto"/>
          <w:sz w:val="24"/>
          <w:szCs w:val="24"/>
          <w:lang w:val="en-US" w:eastAsia="zh-CN"/>
        </w:rPr>
        <w:t xml:space="preserve"> 以上资料均须加盖公司鲜章，并扫描成一份电子文档发至邮箱（414541400@qq.com）或到医院装备物资部现场递交资料（地址：蒲江县鹤山街道飞虎路159号）。</w:t>
      </w:r>
    </w:p>
    <w:p w14:paraId="36A61090">
      <w:pPr>
        <w:keepNext w:val="0"/>
        <w:keepLines w:val="0"/>
        <w:pageBreakBefore w:val="0"/>
        <w:widowControl/>
        <w:kinsoku/>
        <w:wordWrap/>
        <w:overflowPunct/>
        <w:topLinePunct w:val="0"/>
        <w:autoSpaceDE/>
        <w:autoSpaceDN/>
        <w:bidi w:val="0"/>
        <w:adjustRightInd w:val="0"/>
        <w:snapToGrid w:val="0"/>
        <w:textAlignment w:val="auto"/>
        <w:rPr>
          <w:rFonts w:hint="eastAsia" w:asciiTheme="majorEastAsia" w:hAnsiTheme="majorEastAsia" w:eastAsiaTheme="majorEastAsia"/>
          <w:b/>
          <w:bCs/>
          <w:sz w:val="24"/>
          <w:szCs w:val="24"/>
          <w:lang w:val="en-US" w:eastAsia="zh-CN"/>
        </w:rPr>
      </w:pPr>
      <w:r>
        <w:rPr>
          <w:rFonts w:hint="eastAsia" w:asciiTheme="majorEastAsia" w:hAnsiTheme="majorEastAsia" w:eastAsiaTheme="majorEastAsia"/>
          <w:b/>
          <w:bCs/>
          <w:sz w:val="24"/>
          <w:szCs w:val="24"/>
          <w:lang w:val="en-US" w:eastAsia="zh-CN"/>
        </w:rPr>
        <w:t>五、其它</w:t>
      </w:r>
    </w:p>
    <w:p w14:paraId="7984F8F7">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1.联系人：陈老师，佘老师。</w:t>
      </w:r>
    </w:p>
    <w:p w14:paraId="49170EA9">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2.联系电话：028-88556205。</w:t>
      </w:r>
    </w:p>
    <w:p w14:paraId="440DA4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6" w:lineRule="atLeast"/>
        <w:ind w:left="228" w:right="0" w:firstLine="228"/>
        <w:jc w:val="both"/>
        <w:textAlignment w:val="baseline"/>
        <w:rPr>
          <w:rFonts w:hint="eastAsia" w:ascii="宋体" w:hAnsi="宋体" w:eastAsia="宋体" w:cs="宋体"/>
          <w:b/>
          <w:bCs/>
          <w:i w:val="0"/>
          <w:iCs w:val="0"/>
          <w:caps w:val="0"/>
          <w:color w:val="333333"/>
          <w:spacing w:val="0"/>
          <w:sz w:val="24"/>
          <w:szCs w:val="24"/>
          <w:vertAlign w:val="baseline"/>
        </w:rPr>
      </w:pPr>
      <w:r>
        <w:rPr>
          <w:rFonts w:hint="eastAsia" w:asciiTheme="majorEastAsia" w:hAnsiTheme="majorEastAsia" w:eastAsiaTheme="majorEastAsia"/>
          <w:b/>
          <w:sz w:val="24"/>
          <w:szCs w:val="24"/>
          <w:lang w:val="en-US" w:eastAsia="zh-CN"/>
        </w:rPr>
        <w:t xml:space="preserve"> </w:t>
      </w:r>
      <w:r>
        <w:rPr>
          <w:rFonts w:hint="eastAsia" w:asciiTheme="majorEastAsia" w:hAnsiTheme="majorEastAsia" w:eastAsiaTheme="majorEastAsia"/>
          <w:b/>
          <w:bCs/>
          <w:sz w:val="24"/>
          <w:szCs w:val="24"/>
        </w:rPr>
        <w:t>欢迎具有独立承担民事责任的能力，保证所提供的各种材料和证明材料的真实性</w:t>
      </w:r>
      <w:r>
        <w:rPr>
          <w:rFonts w:hint="eastAsia" w:asciiTheme="majorEastAsia" w:hAnsiTheme="majorEastAsia" w:eastAsiaTheme="majorEastAsia"/>
          <w:b/>
          <w:bCs/>
          <w:sz w:val="24"/>
          <w:szCs w:val="24"/>
          <w:lang w:eastAsia="zh-CN"/>
        </w:rPr>
        <w:t>。</w:t>
      </w:r>
      <w:r>
        <w:rPr>
          <w:rFonts w:hint="eastAsia" w:ascii="宋体" w:hAnsi="宋体" w:eastAsia="宋体" w:cs="宋体"/>
          <w:b/>
          <w:bCs/>
          <w:i w:val="0"/>
          <w:iCs w:val="0"/>
          <w:caps w:val="0"/>
          <w:color w:val="333333"/>
          <w:spacing w:val="0"/>
          <w:sz w:val="24"/>
          <w:szCs w:val="24"/>
          <w:vertAlign w:val="baseline"/>
          <w:lang w:val="en-US" w:eastAsia="zh-CN"/>
        </w:rPr>
        <w:t>具备相应的</w:t>
      </w:r>
      <w:r>
        <w:rPr>
          <w:rFonts w:hint="eastAsia" w:ascii="宋体" w:hAnsi="宋体" w:eastAsia="宋体" w:cs="宋体"/>
          <w:b/>
          <w:bCs/>
          <w:i w:val="0"/>
          <w:iCs w:val="0"/>
          <w:caps w:val="0"/>
          <w:color w:val="333333"/>
          <w:spacing w:val="0"/>
          <w:sz w:val="24"/>
          <w:szCs w:val="24"/>
          <w:vertAlign w:val="baseline"/>
        </w:rPr>
        <w:t>专业技术能力</w:t>
      </w:r>
      <w:r>
        <w:rPr>
          <w:rFonts w:hint="eastAsia" w:ascii="宋体" w:hAnsi="宋体" w:eastAsia="宋体" w:cs="宋体"/>
          <w:b/>
          <w:bCs/>
          <w:i w:val="0"/>
          <w:iCs w:val="0"/>
          <w:caps w:val="0"/>
          <w:color w:val="333333"/>
          <w:spacing w:val="0"/>
          <w:sz w:val="24"/>
          <w:szCs w:val="24"/>
          <w:vertAlign w:val="baseline"/>
          <w:lang w:val="en-US" w:eastAsia="zh-CN"/>
        </w:rPr>
        <w:t>和</w:t>
      </w:r>
      <w:r>
        <w:rPr>
          <w:rFonts w:hint="eastAsia" w:ascii="宋体" w:hAnsi="宋体" w:eastAsia="宋体" w:cs="宋体"/>
          <w:b/>
          <w:bCs/>
          <w:i w:val="0"/>
          <w:iCs w:val="0"/>
          <w:caps w:val="0"/>
          <w:color w:val="333333"/>
          <w:spacing w:val="0"/>
          <w:sz w:val="24"/>
          <w:szCs w:val="24"/>
          <w:vertAlign w:val="baseline"/>
        </w:rPr>
        <w:t>服务本项目相关法律、法规规定资质的服务商，向我院递交</w:t>
      </w:r>
      <w:r>
        <w:rPr>
          <w:rFonts w:hint="eastAsia" w:ascii="宋体" w:hAnsi="宋体" w:eastAsia="宋体" w:cs="宋体"/>
          <w:b/>
          <w:bCs/>
          <w:i w:val="0"/>
          <w:iCs w:val="0"/>
          <w:caps w:val="0"/>
          <w:color w:val="333333"/>
          <w:spacing w:val="0"/>
          <w:sz w:val="24"/>
          <w:szCs w:val="24"/>
          <w:vertAlign w:val="baseline"/>
          <w:lang w:val="en-US" w:eastAsia="zh-CN"/>
        </w:rPr>
        <w:t>投标</w:t>
      </w:r>
      <w:r>
        <w:rPr>
          <w:rFonts w:hint="eastAsia" w:ascii="宋体" w:hAnsi="宋体" w:eastAsia="宋体" w:cs="宋体"/>
          <w:b/>
          <w:bCs/>
          <w:i w:val="0"/>
          <w:iCs w:val="0"/>
          <w:caps w:val="0"/>
          <w:color w:val="333333"/>
          <w:spacing w:val="0"/>
          <w:sz w:val="24"/>
          <w:szCs w:val="24"/>
          <w:vertAlign w:val="baseline"/>
        </w:rPr>
        <w:t>资料。</w:t>
      </w:r>
    </w:p>
    <w:p w14:paraId="06E887E1">
      <w:pPr>
        <w:numPr>
          <w:ilvl w:val="0"/>
          <w:numId w:val="0"/>
        </w:numPr>
        <w:spacing w:line="220" w:lineRule="atLeast"/>
        <w:rPr>
          <w:rFonts w:hint="eastAsia" w:asciiTheme="majorEastAsia" w:hAnsiTheme="majorEastAsia" w:eastAsiaTheme="majorEastAsia"/>
          <w:b/>
          <w:sz w:val="24"/>
          <w:szCs w:val="24"/>
          <w:lang w:val="en-US" w:eastAsia="zh-CN"/>
        </w:rPr>
      </w:pPr>
    </w:p>
    <w:p w14:paraId="2FE1DD94">
      <w:pPr>
        <w:numPr>
          <w:ilvl w:val="0"/>
          <w:numId w:val="0"/>
        </w:numPr>
        <w:spacing w:line="220" w:lineRule="atLeast"/>
        <w:rPr>
          <w:rFonts w:hint="eastAsia" w:asciiTheme="majorEastAsia" w:hAnsiTheme="majorEastAsia" w:eastAsiaTheme="majorEastAsia"/>
          <w:b w:val="0"/>
          <w:bCs/>
          <w:sz w:val="24"/>
          <w:szCs w:val="24"/>
          <w:lang w:val="en-US" w:eastAsia="zh-CN"/>
        </w:rPr>
      </w:pPr>
      <w:r>
        <w:rPr>
          <w:rFonts w:hint="eastAsia" w:asciiTheme="majorEastAsia" w:hAnsiTheme="majorEastAsia" w:eastAsiaTheme="majorEastAsia"/>
          <w:b w:val="0"/>
          <w:bCs/>
          <w:sz w:val="24"/>
          <w:szCs w:val="24"/>
          <w:lang w:val="en-US" w:eastAsia="zh-CN"/>
        </w:rPr>
        <w:t>附件：</w:t>
      </w:r>
    </w:p>
    <w:p w14:paraId="3910C9F5">
      <w:pPr>
        <w:numPr>
          <w:ilvl w:val="0"/>
          <w:numId w:val="3"/>
        </w:numPr>
        <w:spacing w:line="220" w:lineRule="atLeast"/>
        <w:rPr>
          <w:rFonts w:hint="eastAsia" w:asciiTheme="majorEastAsia" w:hAnsiTheme="majorEastAsia" w:eastAsiaTheme="majorEastAsia"/>
          <w:b w:val="0"/>
          <w:bCs/>
          <w:sz w:val="24"/>
          <w:szCs w:val="24"/>
          <w:lang w:val="en-US" w:eastAsia="zh-CN"/>
        </w:rPr>
      </w:pPr>
      <w:r>
        <w:rPr>
          <w:rFonts w:hint="eastAsia" w:asciiTheme="majorEastAsia" w:hAnsiTheme="majorEastAsia" w:eastAsiaTheme="majorEastAsia"/>
          <w:b w:val="0"/>
          <w:bCs/>
          <w:sz w:val="24"/>
          <w:szCs w:val="24"/>
          <w:lang w:val="en-US" w:eastAsia="zh-CN"/>
        </w:rPr>
        <w:t>蒲江县中医医院CT、DR维保服务项目报名表</w:t>
      </w:r>
    </w:p>
    <w:p w14:paraId="389A7E07">
      <w:pPr>
        <w:numPr>
          <w:ilvl w:val="0"/>
          <w:numId w:val="3"/>
        </w:numPr>
        <w:spacing w:line="220" w:lineRule="atLeast"/>
        <w:rPr>
          <w:rFonts w:hint="default" w:asciiTheme="majorEastAsia" w:hAnsiTheme="majorEastAsia" w:eastAsiaTheme="majorEastAsia"/>
          <w:b w:val="0"/>
          <w:bCs/>
          <w:sz w:val="24"/>
          <w:szCs w:val="24"/>
          <w:lang w:val="en-US" w:eastAsia="zh-CN"/>
        </w:rPr>
      </w:pPr>
      <w:r>
        <w:rPr>
          <w:rFonts w:hint="eastAsia" w:asciiTheme="majorEastAsia" w:hAnsiTheme="majorEastAsia" w:eastAsiaTheme="majorEastAsia"/>
          <w:b w:val="0"/>
          <w:bCs/>
          <w:sz w:val="24"/>
          <w:szCs w:val="24"/>
          <w:lang w:val="en-US" w:eastAsia="zh-CN"/>
        </w:rPr>
        <w:t>蒲江县中医医院CT、DR维保服务项目报价单</w:t>
      </w:r>
    </w:p>
    <w:p w14:paraId="765DAFD5">
      <w:pPr>
        <w:numPr>
          <w:ilvl w:val="0"/>
          <w:numId w:val="0"/>
        </w:numPr>
        <w:spacing w:line="220" w:lineRule="atLeast"/>
        <w:rPr>
          <w:rFonts w:hint="eastAsia" w:asciiTheme="majorEastAsia" w:hAnsiTheme="majorEastAsia" w:eastAsiaTheme="majorEastAsia"/>
          <w:b w:val="0"/>
          <w:bCs/>
          <w:sz w:val="24"/>
          <w:szCs w:val="24"/>
          <w:lang w:val="en-US" w:eastAsia="zh-CN"/>
        </w:rPr>
      </w:pPr>
    </w:p>
    <w:p w14:paraId="172FC43D">
      <w:pPr>
        <w:pStyle w:val="2"/>
        <w:rPr>
          <w:rFonts w:hint="eastAsia" w:asciiTheme="majorEastAsia" w:hAnsiTheme="majorEastAsia" w:eastAsiaTheme="majorEastAsia"/>
          <w:b w:val="0"/>
          <w:bCs/>
          <w:sz w:val="24"/>
          <w:szCs w:val="24"/>
          <w:lang w:val="en-US" w:eastAsia="zh-CN"/>
        </w:rPr>
      </w:pPr>
    </w:p>
    <w:p w14:paraId="291988C9">
      <w:pPr>
        <w:rPr>
          <w:rFonts w:hint="eastAsia" w:asciiTheme="majorEastAsia" w:hAnsiTheme="majorEastAsia" w:eastAsiaTheme="majorEastAsia"/>
          <w:b w:val="0"/>
          <w:bCs/>
          <w:sz w:val="24"/>
          <w:szCs w:val="24"/>
          <w:lang w:val="en-US" w:eastAsia="zh-CN"/>
        </w:rPr>
      </w:pPr>
    </w:p>
    <w:p w14:paraId="0A15648E">
      <w:pPr>
        <w:pStyle w:val="2"/>
        <w:rPr>
          <w:rFonts w:hint="eastAsia"/>
          <w:lang w:val="en-US" w:eastAsia="zh-CN"/>
        </w:rPr>
      </w:pPr>
    </w:p>
    <w:p w14:paraId="18C74F2D">
      <w:pPr>
        <w:numPr>
          <w:ilvl w:val="0"/>
          <w:numId w:val="0"/>
        </w:numPr>
        <w:spacing w:line="220" w:lineRule="atLeast"/>
        <w:rPr>
          <w:rFonts w:hint="eastAsia" w:asciiTheme="majorEastAsia" w:hAnsiTheme="majorEastAsia" w:eastAsiaTheme="majorEastAsia"/>
          <w:b w:val="0"/>
          <w:bCs/>
          <w:sz w:val="24"/>
          <w:szCs w:val="24"/>
          <w:lang w:val="en-US" w:eastAsia="zh-CN"/>
        </w:rPr>
      </w:pPr>
      <w:r>
        <w:rPr>
          <w:rFonts w:hint="eastAsia" w:asciiTheme="majorEastAsia" w:hAnsiTheme="majorEastAsia" w:eastAsiaTheme="majorEastAsia"/>
          <w:b w:val="0"/>
          <w:bCs/>
          <w:sz w:val="24"/>
          <w:szCs w:val="24"/>
          <w:lang w:val="en-US" w:eastAsia="zh-CN"/>
        </w:rPr>
        <w:t xml:space="preserve">                                                                蒲江县中医医院</w:t>
      </w:r>
    </w:p>
    <w:p w14:paraId="3C38AA67">
      <w:pPr>
        <w:numPr>
          <w:ilvl w:val="0"/>
          <w:numId w:val="0"/>
        </w:numPr>
        <w:spacing w:line="220" w:lineRule="atLeast"/>
        <w:rPr>
          <w:rFonts w:hint="eastAsia" w:asciiTheme="majorEastAsia" w:hAnsiTheme="majorEastAsia" w:eastAsiaTheme="majorEastAsia"/>
          <w:b/>
          <w:sz w:val="24"/>
          <w:szCs w:val="24"/>
          <w:lang w:val="en-US" w:eastAsia="zh-CN"/>
        </w:rPr>
      </w:pPr>
      <w:r>
        <w:rPr>
          <w:rFonts w:hint="eastAsia" w:asciiTheme="majorEastAsia" w:hAnsiTheme="majorEastAsia" w:eastAsiaTheme="majorEastAsia"/>
          <w:b w:val="0"/>
          <w:bCs/>
          <w:sz w:val="24"/>
          <w:szCs w:val="24"/>
          <w:lang w:val="en-US" w:eastAsia="zh-CN"/>
        </w:rPr>
        <w:t xml:space="preserve">                                                               2025年12月17日</w:t>
      </w:r>
    </w:p>
    <w:p w14:paraId="5C9645BB">
      <w:pPr>
        <w:numPr>
          <w:ilvl w:val="0"/>
          <w:numId w:val="0"/>
        </w:numPr>
        <w:spacing w:line="220" w:lineRule="atLeast"/>
        <w:rPr>
          <w:rFonts w:hint="eastAsia" w:asciiTheme="majorEastAsia" w:hAnsiTheme="majorEastAsia" w:eastAsiaTheme="majorEastAsia"/>
          <w:b w:val="0"/>
          <w:bCs/>
          <w:sz w:val="24"/>
          <w:szCs w:val="24"/>
          <w:lang w:val="en-US" w:eastAsia="zh-CN"/>
        </w:rPr>
      </w:pPr>
    </w:p>
    <w:p w14:paraId="584D452F">
      <w:pPr>
        <w:numPr>
          <w:ilvl w:val="0"/>
          <w:numId w:val="0"/>
        </w:numPr>
        <w:spacing w:line="220" w:lineRule="atLeast"/>
        <w:rPr>
          <w:rFonts w:hint="eastAsia" w:asciiTheme="majorEastAsia" w:hAnsiTheme="majorEastAsia" w:eastAsiaTheme="majorEastAsia"/>
          <w:b w:val="0"/>
          <w:bCs/>
          <w:sz w:val="24"/>
          <w:szCs w:val="24"/>
          <w:lang w:val="en-US" w:eastAsia="zh-CN"/>
        </w:rPr>
      </w:pPr>
    </w:p>
    <w:p w14:paraId="7279E128">
      <w:pPr>
        <w:numPr>
          <w:ilvl w:val="0"/>
          <w:numId w:val="0"/>
        </w:numPr>
        <w:spacing w:line="220" w:lineRule="atLeast"/>
        <w:rPr>
          <w:rFonts w:hint="eastAsia" w:asciiTheme="majorEastAsia" w:hAnsiTheme="majorEastAsia" w:eastAsiaTheme="majorEastAsia"/>
          <w:b w:val="0"/>
          <w:bCs/>
          <w:sz w:val="24"/>
          <w:szCs w:val="24"/>
          <w:lang w:val="en-US" w:eastAsia="zh-CN"/>
        </w:rPr>
      </w:pPr>
    </w:p>
    <w:p w14:paraId="0DDA040E">
      <w:pPr>
        <w:numPr>
          <w:ilvl w:val="0"/>
          <w:numId w:val="0"/>
        </w:numPr>
        <w:spacing w:line="220" w:lineRule="atLeast"/>
        <w:rPr>
          <w:rFonts w:hint="eastAsia" w:asciiTheme="majorEastAsia" w:hAnsiTheme="majorEastAsia" w:eastAsiaTheme="majorEastAsia"/>
          <w:b w:val="0"/>
          <w:bCs/>
          <w:sz w:val="24"/>
          <w:szCs w:val="24"/>
          <w:lang w:val="en-US" w:eastAsia="zh-CN"/>
        </w:rPr>
      </w:pPr>
    </w:p>
    <w:p w14:paraId="7B51F299">
      <w:pPr>
        <w:numPr>
          <w:ilvl w:val="0"/>
          <w:numId w:val="0"/>
        </w:numPr>
        <w:spacing w:line="220" w:lineRule="atLeast"/>
        <w:rPr>
          <w:rFonts w:hint="eastAsia" w:asciiTheme="majorEastAsia" w:hAnsiTheme="majorEastAsia" w:eastAsiaTheme="majorEastAsia"/>
          <w:b w:val="0"/>
          <w:bCs/>
          <w:sz w:val="24"/>
          <w:szCs w:val="24"/>
          <w:lang w:val="en-US" w:eastAsia="zh-CN"/>
        </w:rPr>
      </w:pPr>
    </w:p>
    <w:p w14:paraId="0EC9D406">
      <w:pPr>
        <w:numPr>
          <w:ilvl w:val="0"/>
          <w:numId w:val="0"/>
        </w:numPr>
        <w:spacing w:line="220" w:lineRule="atLeast"/>
        <w:rPr>
          <w:rFonts w:hint="eastAsia" w:asciiTheme="majorEastAsia" w:hAnsiTheme="majorEastAsia" w:eastAsiaTheme="majorEastAsia"/>
          <w:b w:val="0"/>
          <w:bCs/>
          <w:sz w:val="24"/>
          <w:szCs w:val="24"/>
          <w:lang w:val="en-US" w:eastAsia="zh-CN"/>
        </w:rPr>
      </w:pPr>
    </w:p>
    <w:p w14:paraId="469751C3">
      <w:pPr>
        <w:numPr>
          <w:ilvl w:val="0"/>
          <w:numId w:val="0"/>
        </w:numPr>
        <w:spacing w:line="220" w:lineRule="atLeast"/>
        <w:rPr>
          <w:rFonts w:hint="eastAsia" w:asciiTheme="majorEastAsia" w:hAnsiTheme="majorEastAsia" w:eastAsiaTheme="majorEastAsia"/>
          <w:b w:val="0"/>
          <w:bCs/>
          <w:sz w:val="24"/>
          <w:szCs w:val="24"/>
          <w:lang w:val="en-US" w:eastAsia="zh-CN"/>
        </w:rPr>
      </w:pPr>
    </w:p>
    <w:p w14:paraId="737EA148">
      <w:pPr>
        <w:numPr>
          <w:ilvl w:val="0"/>
          <w:numId w:val="0"/>
        </w:numPr>
        <w:spacing w:line="220" w:lineRule="atLeast"/>
        <w:rPr>
          <w:rFonts w:hint="eastAsia" w:asciiTheme="majorEastAsia" w:hAnsiTheme="majorEastAsia" w:eastAsiaTheme="majorEastAsia"/>
          <w:b w:val="0"/>
          <w:bCs/>
          <w:sz w:val="24"/>
          <w:szCs w:val="24"/>
          <w:lang w:val="en-US" w:eastAsia="zh-CN"/>
        </w:rPr>
      </w:pPr>
    </w:p>
    <w:p w14:paraId="1CC6503D">
      <w:pPr>
        <w:numPr>
          <w:ilvl w:val="0"/>
          <w:numId w:val="0"/>
        </w:numPr>
        <w:spacing w:line="220" w:lineRule="atLeast"/>
        <w:rPr>
          <w:rFonts w:hint="eastAsia" w:asciiTheme="majorEastAsia" w:hAnsiTheme="majorEastAsia" w:eastAsiaTheme="majorEastAsia"/>
          <w:b w:val="0"/>
          <w:bCs/>
          <w:sz w:val="24"/>
          <w:szCs w:val="24"/>
          <w:lang w:val="en-US" w:eastAsia="zh-CN"/>
        </w:rPr>
      </w:pPr>
    </w:p>
    <w:p w14:paraId="46A3F106">
      <w:pPr>
        <w:numPr>
          <w:ilvl w:val="0"/>
          <w:numId w:val="0"/>
        </w:numPr>
        <w:spacing w:line="220" w:lineRule="atLeast"/>
        <w:rPr>
          <w:rFonts w:hint="eastAsia" w:asciiTheme="majorEastAsia" w:hAnsiTheme="majorEastAsia" w:eastAsiaTheme="majorEastAsia"/>
          <w:b w:val="0"/>
          <w:bCs/>
          <w:sz w:val="24"/>
          <w:szCs w:val="24"/>
          <w:lang w:val="en-US" w:eastAsia="zh-CN"/>
        </w:rPr>
      </w:pPr>
    </w:p>
    <w:p w14:paraId="57805E25">
      <w:pPr>
        <w:numPr>
          <w:ilvl w:val="0"/>
          <w:numId w:val="0"/>
        </w:numPr>
        <w:spacing w:line="220" w:lineRule="atLeast"/>
        <w:rPr>
          <w:rFonts w:hint="eastAsia" w:asciiTheme="majorEastAsia" w:hAnsiTheme="majorEastAsia" w:eastAsiaTheme="majorEastAsia"/>
          <w:b w:val="0"/>
          <w:bCs/>
          <w:sz w:val="24"/>
          <w:szCs w:val="24"/>
          <w:lang w:val="en-US" w:eastAsia="zh-CN"/>
        </w:rPr>
      </w:pPr>
    </w:p>
    <w:p w14:paraId="58BF918E">
      <w:pPr>
        <w:numPr>
          <w:ilvl w:val="0"/>
          <w:numId w:val="0"/>
        </w:numPr>
        <w:spacing w:line="220" w:lineRule="atLeast"/>
        <w:rPr>
          <w:rFonts w:hint="eastAsia" w:asciiTheme="majorEastAsia" w:hAnsiTheme="majorEastAsia" w:eastAsiaTheme="majorEastAsia"/>
          <w:b w:val="0"/>
          <w:bCs/>
          <w:sz w:val="24"/>
          <w:szCs w:val="24"/>
          <w:lang w:val="en-US" w:eastAsia="zh-CN"/>
        </w:rPr>
      </w:pPr>
    </w:p>
    <w:p w14:paraId="014EBDC0">
      <w:pPr>
        <w:numPr>
          <w:ilvl w:val="0"/>
          <w:numId w:val="0"/>
        </w:numPr>
        <w:spacing w:line="220" w:lineRule="atLeast"/>
        <w:rPr>
          <w:rFonts w:hint="eastAsia" w:asciiTheme="majorEastAsia" w:hAnsiTheme="majorEastAsia" w:eastAsiaTheme="majorEastAsia"/>
          <w:b w:val="0"/>
          <w:bCs/>
          <w:sz w:val="24"/>
          <w:szCs w:val="24"/>
          <w:lang w:val="en-US" w:eastAsia="zh-CN"/>
        </w:rPr>
      </w:pPr>
      <w:r>
        <w:rPr>
          <w:rFonts w:hint="eastAsia" w:asciiTheme="majorEastAsia" w:hAnsiTheme="majorEastAsia" w:eastAsiaTheme="majorEastAsia"/>
          <w:b w:val="0"/>
          <w:bCs/>
          <w:sz w:val="24"/>
          <w:szCs w:val="24"/>
          <w:lang w:val="en-US" w:eastAsia="zh-CN"/>
        </w:rPr>
        <w:t>附件1：</w:t>
      </w:r>
    </w:p>
    <w:tbl>
      <w:tblPr>
        <w:tblStyle w:val="5"/>
        <w:tblpPr w:leftFromText="180" w:rightFromText="180" w:vertAnchor="text" w:horzAnchor="page" w:tblpX="835" w:tblpY="261"/>
        <w:tblOverlap w:val="never"/>
        <w:tblW w:w="1019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1850"/>
        <w:gridCol w:w="1819"/>
        <w:gridCol w:w="2714"/>
        <w:gridCol w:w="1190"/>
        <w:gridCol w:w="2053"/>
      </w:tblGrid>
      <w:tr w14:paraId="4218A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0193" w:type="dxa"/>
            <w:gridSpan w:val="6"/>
            <w:tcBorders>
              <w:top w:val="nil"/>
              <w:left w:val="nil"/>
              <w:bottom w:val="nil"/>
              <w:right w:val="nil"/>
            </w:tcBorders>
            <w:shd w:val="clear" w:color="auto" w:fill="FFFFFF"/>
            <w:noWrap/>
            <w:vAlign w:val="center"/>
          </w:tcPr>
          <w:p w14:paraId="1C17FF5E">
            <w:pPr>
              <w:keepNext w:val="0"/>
              <w:keepLines w:val="0"/>
              <w:widowControl/>
              <w:suppressLineNumbers w:val="0"/>
              <w:jc w:val="center"/>
              <w:textAlignment w:val="center"/>
              <w:rPr>
                <w:rFonts w:hint="eastAsia" w:asciiTheme="majorEastAsia" w:hAnsiTheme="majorEastAsia" w:eastAsiaTheme="majorEastAsia"/>
                <w:b/>
                <w:sz w:val="24"/>
                <w:szCs w:val="24"/>
                <w:lang w:val="en-US" w:eastAsia="zh-CN"/>
              </w:rPr>
            </w:pPr>
          </w:p>
          <w:p w14:paraId="2C3D6BE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Theme="majorEastAsia" w:hAnsiTheme="majorEastAsia" w:eastAsiaTheme="majorEastAsia"/>
                <w:b/>
                <w:sz w:val="28"/>
                <w:szCs w:val="28"/>
                <w:lang w:val="en-US" w:eastAsia="zh-CN"/>
              </w:rPr>
              <w:t>蒲江县中医医院CT、DR维保服务项目报名表</w:t>
            </w:r>
          </w:p>
        </w:tc>
      </w:tr>
      <w:tr w14:paraId="28D50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7" w:hRule="atLeast"/>
        </w:trPr>
        <w:tc>
          <w:tcPr>
            <w:tcW w:w="423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1440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名       称</w:t>
            </w:r>
          </w:p>
        </w:tc>
        <w:tc>
          <w:tcPr>
            <w:tcW w:w="59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AE46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auto"/>
                <w:kern w:val="0"/>
                <w:sz w:val="24"/>
                <w:szCs w:val="24"/>
                <w:u w:val="none"/>
                <w:lang w:val="en-US" w:eastAsia="zh-CN" w:bidi="ar"/>
              </w:rPr>
              <w:t>蒲江县中医医院CT、DR维保服务项目</w:t>
            </w:r>
          </w:p>
        </w:tc>
      </w:tr>
      <w:tr w14:paraId="5242C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3" w:hRule="atLeast"/>
        </w:trPr>
        <w:tc>
          <w:tcPr>
            <w:tcW w:w="423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844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投 标 时 间</w:t>
            </w:r>
          </w:p>
        </w:tc>
        <w:tc>
          <w:tcPr>
            <w:tcW w:w="595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4C8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2025年12月18</w:t>
            </w:r>
            <w:bookmarkStart w:id="0" w:name="_GoBack"/>
            <w:bookmarkEnd w:id="0"/>
            <w:r>
              <w:rPr>
                <w:rFonts w:hint="eastAsia" w:ascii="宋体" w:hAnsi="宋体" w:eastAsia="宋体" w:cs="宋体"/>
                <w:i w:val="0"/>
                <w:iCs w:val="0"/>
                <w:color w:val="000000"/>
                <w:kern w:val="0"/>
                <w:sz w:val="24"/>
                <w:szCs w:val="24"/>
                <w:u w:val="none"/>
                <w:lang w:val="en-US" w:eastAsia="zh-CN" w:bidi="ar"/>
              </w:rPr>
              <w:t>日至2025年12月26日 17:00截止</w:t>
            </w:r>
          </w:p>
        </w:tc>
      </w:tr>
      <w:tr w14:paraId="6DF9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6" w:hRule="atLeast"/>
        </w:trPr>
        <w:tc>
          <w:tcPr>
            <w:tcW w:w="567" w:type="dxa"/>
            <w:vMerge w:val="restart"/>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7E9687D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4"/>
                <w:szCs w:val="24"/>
                <w:u w:val="none"/>
                <w:lang w:val="en-US" w:eastAsia="zh-CN" w:bidi="ar"/>
              </w:rPr>
              <w:t>投标人填写</w:t>
            </w: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E768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投 标 资 料 时 间</w:t>
            </w:r>
          </w:p>
        </w:tc>
        <w:tc>
          <w:tcPr>
            <w:tcW w:w="595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00B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r>
              <w:rPr>
                <w:rStyle w:val="10"/>
                <w:sz w:val="24"/>
                <w:szCs w:val="24"/>
                <w:lang w:val="en-US" w:eastAsia="zh-CN" w:bidi="ar"/>
              </w:rPr>
              <w:t xml:space="preserve">年  月  日 </w:t>
            </w:r>
          </w:p>
        </w:tc>
      </w:tr>
      <w:tr w14:paraId="4680D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4"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06257C77">
            <w:pPr>
              <w:jc w:val="center"/>
              <w:rPr>
                <w:rFonts w:hint="eastAsia" w:ascii="宋体" w:hAnsi="宋体" w:eastAsia="宋体" w:cs="宋体"/>
                <w:b/>
                <w:bCs/>
                <w:i w:val="0"/>
                <w:iCs w:val="0"/>
                <w:color w:val="000000"/>
                <w:sz w:val="21"/>
                <w:szCs w:val="21"/>
                <w:u w:val="none"/>
              </w:rPr>
            </w:pPr>
          </w:p>
        </w:tc>
        <w:tc>
          <w:tcPr>
            <w:tcW w:w="3669" w:type="dxa"/>
            <w:gridSpan w:val="2"/>
            <w:tcBorders>
              <w:top w:val="single" w:color="000000" w:sz="4" w:space="0"/>
              <w:left w:val="single" w:color="000000" w:sz="4" w:space="0"/>
              <w:bottom w:val="single" w:color="auto" w:sz="4" w:space="0"/>
              <w:right w:val="single" w:color="000000" w:sz="4" w:space="0"/>
            </w:tcBorders>
            <w:shd w:val="clear" w:color="auto" w:fill="FFFFFF"/>
            <w:vAlign w:val="center"/>
          </w:tcPr>
          <w:p w14:paraId="6D3B265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投 标 人 全 称</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（加盖公章）</w:t>
            </w:r>
          </w:p>
        </w:tc>
        <w:tc>
          <w:tcPr>
            <w:tcW w:w="5957" w:type="dxa"/>
            <w:gridSpan w:val="3"/>
            <w:tcBorders>
              <w:top w:val="single" w:color="000000" w:sz="4" w:space="0"/>
              <w:left w:val="single" w:color="000000" w:sz="4" w:space="0"/>
              <w:bottom w:val="single" w:color="auto" w:sz="4" w:space="0"/>
              <w:right w:val="single" w:color="000000" w:sz="4" w:space="0"/>
            </w:tcBorders>
            <w:shd w:val="clear" w:color="auto" w:fill="FFFFFF"/>
            <w:noWrap/>
            <w:vAlign w:val="center"/>
          </w:tcPr>
          <w:p w14:paraId="59F6B63A">
            <w:pPr>
              <w:jc w:val="center"/>
              <w:rPr>
                <w:rFonts w:hint="eastAsia" w:ascii="宋体" w:hAnsi="宋体" w:eastAsia="宋体" w:cs="宋体"/>
                <w:b/>
                <w:bCs/>
                <w:i w:val="0"/>
                <w:iCs w:val="0"/>
                <w:color w:val="000000"/>
                <w:sz w:val="24"/>
                <w:szCs w:val="24"/>
                <w:u w:val="none"/>
              </w:rPr>
            </w:pPr>
          </w:p>
        </w:tc>
      </w:tr>
      <w:tr w14:paraId="5F435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1"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18163FCA">
            <w:pPr>
              <w:jc w:val="center"/>
              <w:rPr>
                <w:rFonts w:hint="eastAsia" w:ascii="宋体" w:hAnsi="宋体" w:eastAsia="宋体" w:cs="宋体"/>
                <w:b/>
                <w:bCs/>
                <w:i w:val="0"/>
                <w:iCs w:val="0"/>
                <w:color w:val="000000"/>
                <w:sz w:val="21"/>
                <w:szCs w:val="21"/>
                <w:u w:val="none"/>
              </w:rPr>
            </w:pPr>
          </w:p>
        </w:tc>
        <w:tc>
          <w:tcPr>
            <w:tcW w:w="3669"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4C83C851">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响应包号</w:t>
            </w:r>
          </w:p>
        </w:tc>
        <w:tc>
          <w:tcPr>
            <w:tcW w:w="5957" w:type="dxa"/>
            <w:gridSpan w:val="3"/>
            <w:tcBorders>
              <w:top w:val="single" w:color="auto" w:sz="4" w:space="0"/>
              <w:left w:val="single" w:color="000000" w:sz="4" w:space="0"/>
              <w:bottom w:val="single" w:color="000000" w:sz="4" w:space="0"/>
              <w:right w:val="single" w:color="000000" w:sz="4" w:space="0"/>
            </w:tcBorders>
            <w:shd w:val="clear" w:color="auto" w:fill="FFFFFF"/>
            <w:noWrap/>
            <w:vAlign w:val="center"/>
          </w:tcPr>
          <w:p w14:paraId="64CE602A">
            <w:pPr>
              <w:jc w:val="center"/>
              <w:rPr>
                <w:rFonts w:hint="eastAsia" w:ascii="宋体" w:hAnsi="宋体" w:eastAsia="宋体" w:cs="宋体"/>
                <w:b/>
                <w:bCs/>
                <w:i w:val="0"/>
                <w:iCs w:val="0"/>
                <w:color w:val="000000"/>
                <w:sz w:val="24"/>
                <w:szCs w:val="24"/>
                <w:u w:val="none"/>
              </w:rPr>
            </w:pPr>
          </w:p>
        </w:tc>
      </w:tr>
      <w:tr w14:paraId="21128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6D14603E">
            <w:pPr>
              <w:jc w:val="center"/>
              <w:rPr>
                <w:rFonts w:hint="eastAsia" w:ascii="宋体" w:hAnsi="宋体" w:eastAsia="宋体" w:cs="宋体"/>
                <w:b/>
                <w:bCs/>
                <w:i w:val="0"/>
                <w:iCs w:val="0"/>
                <w:color w:val="000000"/>
                <w:sz w:val="21"/>
                <w:szCs w:val="21"/>
                <w:u w:val="none"/>
              </w:rPr>
            </w:pP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2EBB9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法定代表人或授权代表人姓名</w:t>
            </w:r>
          </w:p>
        </w:tc>
        <w:tc>
          <w:tcPr>
            <w:tcW w:w="595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60B4F">
            <w:pPr>
              <w:jc w:val="center"/>
              <w:rPr>
                <w:rFonts w:hint="eastAsia" w:ascii="宋体" w:hAnsi="宋体" w:eastAsia="宋体" w:cs="宋体"/>
                <w:b/>
                <w:bCs/>
                <w:i w:val="0"/>
                <w:iCs w:val="0"/>
                <w:color w:val="000000"/>
                <w:sz w:val="24"/>
                <w:szCs w:val="24"/>
                <w:u w:val="none"/>
              </w:rPr>
            </w:pPr>
          </w:p>
        </w:tc>
      </w:tr>
      <w:tr w14:paraId="24122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3E384DD1">
            <w:pPr>
              <w:jc w:val="center"/>
              <w:rPr>
                <w:rFonts w:hint="eastAsia" w:ascii="宋体" w:hAnsi="宋体" w:eastAsia="宋体" w:cs="宋体"/>
                <w:b/>
                <w:bCs/>
                <w:i w:val="0"/>
                <w:iCs w:val="0"/>
                <w:color w:val="000000"/>
                <w:sz w:val="21"/>
                <w:szCs w:val="21"/>
                <w:u w:val="none"/>
              </w:rPr>
            </w:pP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599EA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法定代表人或授权代表人身份证号</w:t>
            </w:r>
          </w:p>
        </w:tc>
        <w:tc>
          <w:tcPr>
            <w:tcW w:w="595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1E0E0">
            <w:pPr>
              <w:jc w:val="center"/>
              <w:rPr>
                <w:rFonts w:hint="eastAsia" w:ascii="宋体" w:hAnsi="宋体" w:eastAsia="宋体" w:cs="宋体"/>
                <w:b/>
                <w:bCs/>
                <w:i w:val="0"/>
                <w:iCs w:val="0"/>
                <w:color w:val="000000"/>
                <w:sz w:val="24"/>
                <w:szCs w:val="24"/>
                <w:u w:val="none"/>
              </w:rPr>
            </w:pPr>
          </w:p>
        </w:tc>
      </w:tr>
      <w:tr w14:paraId="307F2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74D94D6E">
            <w:pPr>
              <w:jc w:val="center"/>
              <w:rPr>
                <w:rFonts w:hint="eastAsia" w:ascii="宋体" w:hAnsi="宋体" w:eastAsia="宋体" w:cs="宋体"/>
                <w:b/>
                <w:bCs/>
                <w:i w:val="0"/>
                <w:iCs w:val="0"/>
                <w:color w:val="000000"/>
                <w:sz w:val="21"/>
                <w:szCs w:val="21"/>
                <w:u w:val="none"/>
              </w:rPr>
            </w:pPr>
          </w:p>
        </w:tc>
        <w:tc>
          <w:tcPr>
            <w:tcW w:w="1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B9D1D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联系方式</w:t>
            </w:r>
          </w:p>
        </w:tc>
        <w:tc>
          <w:tcPr>
            <w:tcW w:w="18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F5C0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手 机 号</w:t>
            </w:r>
          </w:p>
        </w:tc>
        <w:tc>
          <w:tcPr>
            <w:tcW w:w="27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D29C9">
            <w:pPr>
              <w:jc w:val="center"/>
              <w:rPr>
                <w:rFonts w:hint="eastAsia" w:ascii="宋体" w:hAnsi="宋体" w:eastAsia="宋体" w:cs="宋体"/>
                <w:b/>
                <w:bCs/>
                <w:i w:val="0"/>
                <w:iCs w:val="0"/>
                <w:color w:val="000000"/>
                <w:sz w:val="24"/>
                <w:szCs w:val="24"/>
                <w:u w:val="none"/>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0103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座 机 号</w:t>
            </w:r>
          </w:p>
        </w:tc>
        <w:tc>
          <w:tcPr>
            <w:tcW w:w="2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26198">
            <w:pPr>
              <w:jc w:val="center"/>
              <w:rPr>
                <w:rFonts w:hint="eastAsia" w:ascii="宋体" w:hAnsi="宋体" w:eastAsia="宋体" w:cs="宋体"/>
                <w:b/>
                <w:bCs/>
                <w:i w:val="0"/>
                <w:iCs w:val="0"/>
                <w:color w:val="000000"/>
                <w:sz w:val="24"/>
                <w:szCs w:val="24"/>
                <w:u w:val="none"/>
              </w:rPr>
            </w:pPr>
          </w:p>
        </w:tc>
      </w:tr>
      <w:tr w14:paraId="350C0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06B07828">
            <w:pPr>
              <w:jc w:val="center"/>
              <w:rPr>
                <w:rFonts w:hint="eastAsia" w:ascii="宋体" w:hAnsi="宋体" w:eastAsia="宋体" w:cs="宋体"/>
                <w:b/>
                <w:bCs/>
                <w:i w:val="0"/>
                <w:iCs w:val="0"/>
                <w:color w:val="000000"/>
                <w:sz w:val="21"/>
                <w:szCs w:val="21"/>
                <w:u w:val="none"/>
              </w:rPr>
            </w:pP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5EE951">
            <w:pPr>
              <w:jc w:val="center"/>
              <w:rPr>
                <w:rFonts w:hint="eastAsia" w:ascii="宋体" w:hAnsi="宋体" w:eastAsia="宋体" w:cs="宋体"/>
                <w:b/>
                <w:bCs/>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879A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电子邮箱</w:t>
            </w:r>
          </w:p>
        </w:tc>
        <w:tc>
          <w:tcPr>
            <w:tcW w:w="595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C0CC5">
            <w:pPr>
              <w:jc w:val="center"/>
              <w:rPr>
                <w:rFonts w:hint="eastAsia" w:ascii="宋体" w:hAnsi="宋体" w:eastAsia="宋体" w:cs="宋体"/>
                <w:b/>
                <w:bCs/>
                <w:i w:val="0"/>
                <w:iCs w:val="0"/>
                <w:color w:val="000000"/>
                <w:sz w:val="24"/>
                <w:szCs w:val="24"/>
                <w:u w:val="none"/>
              </w:rPr>
            </w:pPr>
          </w:p>
        </w:tc>
      </w:tr>
      <w:tr w14:paraId="4237A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5"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49AE006E">
            <w:pPr>
              <w:jc w:val="center"/>
              <w:rPr>
                <w:rFonts w:hint="eastAsia" w:ascii="宋体" w:hAnsi="宋体" w:eastAsia="宋体" w:cs="宋体"/>
                <w:b/>
                <w:bCs/>
                <w:i w:val="0"/>
                <w:iCs w:val="0"/>
                <w:color w:val="000000"/>
                <w:sz w:val="21"/>
                <w:szCs w:val="21"/>
                <w:u w:val="none"/>
              </w:rPr>
            </w:pP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5B99D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供应商地址：</w:t>
            </w:r>
          </w:p>
        </w:tc>
        <w:tc>
          <w:tcPr>
            <w:tcW w:w="595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7E390">
            <w:pPr>
              <w:jc w:val="left"/>
              <w:rPr>
                <w:rFonts w:hint="eastAsia" w:ascii="宋体" w:hAnsi="宋体" w:eastAsia="宋体" w:cs="宋体"/>
                <w:b/>
                <w:bCs/>
                <w:i w:val="0"/>
                <w:iCs w:val="0"/>
                <w:color w:val="000000"/>
                <w:sz w:val="24"/>
                <w:szCs w:val="24"/>
                <w:u w:val="none"/>
              </w:rPr>
            </w:pPr>
          </w:p>
        </w:tc>
      </w:tr>
      <w:tr w14:paraId="6BE4B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noWrap/>
            <w:textDirection w:val="tbRlV"/>
            <w:vAlign w:val="center"/>
          </w:tcPr>
          <w:p w14:paraId="6EEE8001">
            <w:pPr>
              <w:jc w:val="center"/>
              <w:rPr>
                <w:rFonts w:hint="eastAsia" w:ascii="宋体" w:hAnsi="宋体" w:eastAsia="宋体" w:cs="宋体"/>
                <w:b/>
                <w:bCs/>
                <w:i w:val="0"/>
                <w:iCs w:val="0"/>
                <w:color w:val="000000"/>
                <w:sz w:val="21"/>
                <w:szCs w:val="21"/>
                <w:u w:val="none"/>
              </w:rPr>
            </w:pPr>
          </w:p>
        </w:tc>
        <w:tc>
          <w:tcPr>
            <w:tcW w:w="1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9186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联系方式</w:t>
            </w:r>
          </w:p>
        </w:tc>
        <w:tc>
          <w:tcPr>
            <w:tcW w:w="18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EA4CE">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p w14:paraId="6E8C5B9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电子邮箱</w:t>
            </w:r>
          </w:p>
          <w:p w14:paraId="268C6DBB">
            <w:pPr>
              <w:rPr>
                <w:sz w:val="21"/>
                <w:szCs w:val="21"/>
              </w:rPr>
            </w:pPr>
          </w:p>
        </w:tc>
        <w:tc>
          <w:tcPr>
            <w:tcW w:w="27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61F07">
            <w:pPr>
              <w:jc w:val="center"/>
              <w:rPr>
                <w:rFonts w:hint="default" w:ascii="宋体" w:hAnsi="宋体" w:eastAsia="宋体" w:cs="宋体"/>
                <w:i w:val="0"/>
                <w:iCs w:val="0"/>
                <w:color w:val="000000"/>
                <w:sz w:val="22"/>
                <w:szCs w:val="22"/>
                <w:u w:val="single"/>
                <w:lang w:val="en-US"/>
              </w:rPr>
            </w:pPr>
            <w:r>
              <w:rPr>
                <w:rFonts w:hint="eastAsia" w:asciiTheme="majorEastAsia" w:hAnsiTheme="majorEastAsia" w:eastAsiaTheme="majorEastAsia"/>
                <w:color w:val="auto"/>
                <w:sz w:val="24"/>
                <w:szCs w:val="24"/>
                <w:lang w:val="en-US" w:eastAsia="zh-CN"/>
              </w:rPr>
              <w:t>414541400@qq.com</w:t>
            </w: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FD43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座机号</w:t>
            </w:r>
          </w:p>
        </w:tc>
        <w:tc>
          <w:tcPr>
            <w:tcW w:w="2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D3EC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028-88556205</w:t>
            </w:r>
          </w:p>
        </w:tc>
      </w:tr>
    </w:tbl>
    <w:p w14:paraId="4A37EC00">
      <w:pPr>
        <w:numPr>
          <w:ilvl w:val="0"/>
          <w:numId w:val="0"/>
        </w:numPr>
        <w:spacing w:line="220" w:lineRule="atLeast"/>
        <w:rPr>
          <w:rFonts w:hint="default" w:asciiTheme="majorEastAsia" w:hAnsiTheme="majorEastAsia" w:eastAsiaTheme="majorEastAsia"/>
          <w:b w:val="0"/>
          <w:bCs/>
          <w:sz w:val="24"/>
          <w:szCs w:val="24"/>
          <w:lang w:val="en-US"/>
        </w:rPr>
      </w:pPr>
      <w:r>
        <w:rPr>
          <w:rFonts w:hint="eastAsia" w:asciiTheme="majorEastAsia" w:hAnsiTheme="majorEastAsia" w:eastAsiaTheme="majorEastAsia"/>
          <w:b w:val="0"/>
          <w:bCs/>
          <w:sz w:val="24"/>
          <w:szCs w:val="24"/>
          <w:lang w:val="en-US" w:eastAsia="zh-CN"/>
        </w:rPr>
        <w:t xml:space="preserve"> 附件2：</w:t>
      </w:r>
    </w:p>
    <w:tbl>
      <w:tblPr>
        <w:tblStyle w:val="5"/>
        <w:tblW w:w="9767" w:type="dxa"/>
        <w:tblInd w:w="-10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7"/>
        <w:gridCol w:w="2391"/>
        <w:gridCol w:w="655"/>
        <w:gridCol w:w="2603"/>
        <w:gridCol w:w="1311"/>
        <w:gridCol w:w="2290"/>
      </w:tblGrid>
      <w:tr w14:paraId="46729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67" w:type="dxa"/>
            <w:gridSpan w:val="6"/>
            <w:tcBorders>
              <w:top w:val="nil"/>
              <w:left w:val="nil"/>
              <w:bottom w:val="nil"/>
              <w:right w:val="nil"/>
            </w:tcBorders>
            <w:shd w:val="clear" w:color="auto" w:fill="auto"/>
            <w:vAlign w:val="center"/>
          </w:tcPr>
          <w:p w14:paraId="4CC73495">
            <w:pPr>
              <w:keepNext w:val="0"/>
              <w:keepLines w:val="0"/>
              <w:widowControl/>
              <w:suppressLineNumbers w:val="0"/>
              <w:ind w:firstLine="2530" w:firstLineChars="900"/>
              <w:jc w:val="both"/>
              <w:textAlignment w:val="center"/>
              <w:rPr>
                <w:rFonts w:hint="eastAsia" w:ascii="宋体" w:hAnsi="宋体" w:eastAsia="宋体" w:cs="宋体"/>
                <w:i w:val="0"/>
                <w:iCs w:val="0"/>
                <w:color w:val="000000"/>
                <w:sz w:val="28"/>
                <w:szCs w:val="28"/>
                <w:u w:val="none"/>
              </w:rPr>
            </w:pPr>
            <w:r>
              <w:rPr>
                <w:rFonts w:hint="eastAsia" w:asciiTheme="majorEastAsia" w:hAnsiTheme="majorEastAsia" w:eastAsiaTheme="majorEastAsia"/>
                <w:b/>
                <w:sz w:val="28"/>
                <w:szCs w:val="28"/>
                <w:lang w:val="en-US" w:eastAsia="zh-CN"/>
              </w:rPr>
              <w:t>蒲江县中医医院DR维保服务项目报价单</w:t>
            </w:r>
          </w:p>
        </w:tc>
      </w:tr>
      <w:tr w14:paraId="034C4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3A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1A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 备 名 称</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08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0A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生 产 厂 家</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8EE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技术保年限</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874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kern w:val="0"/>
                <w:sz w:val="20"/>
                <w:szCs w:val="20"/>
                <w:u w:val="none"/>
                <w:lang w:val="en-US" w:eastAsia="zh-CN" w:bidi="ar"/>
              </w:rPr>
              <w:t>技术保报价（万元）/年</w:t>
            </w:r>
          </w:p>
        </w:tc>
      </w:tr>
      <w:tr w14:paraId="402B1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1"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CDC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2208">
            <w:pPr>
              <w:keepNext w:val="0"/>
              <w:keepLines w:val="0"/>
              <w:widowControl/>
              <w:suppressLineNumbers w:val="0"/>
              <w:jc w:val="both"/>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医用诊断X射线系统（DR）</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722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BCC2">
            <w:pPr>
              <w:keepNext w:val="0"/>
              <w:keepLines w:val="0"/>
              <w:widowControl/>
              <w:suppressLineNumbers w:val="0"/>
              <w:jc w:val="both"/>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通用电气华伦医疗设备有限公司</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8E99A">
            <w:pPr>
              <w:keepNext w:val="0"/>
              <w:keepLines w:val="0"/>
              <w:widowControl/>
              <w:suppressLineNumbers w:val="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2年</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137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r>
    </w:tbl>
    <w:p w14:paraId="724A873E">
      <w:pPr>
        <w:numPr>
          <w:ilvl w:val="0"/>
          <w:numId w:val="0"/>
        </w:numPr>
        <w:spacing w:line="220" w:lineRule="atLeast"/>
        <w:rPr>
          <w:rFonts w:asciiTheme="majorEastAsia" w:hAnsiTheme="majorEastAsia" w:eastAsiaTheme="majorEastAsia"/>
          <w:sz w:val="24"/>
          <w:szCs w:val="24"/>
        </w:rPr>
      </w:pPr>
    </w:p>
    <w:p w14:paraId="07B249D5">
      <w:pPr>
        <w:numPr>
          <w:ilvl w:val="0"/>
          <w:numId w:val="0"/>
        </w:numPr>
        <w:spacing w:line="220" w:lineRule="atLeast"/>
        <w:rPr>
          <w:rFonts w:asciiTheme="majorEastAsia" w:hAnsiTheme="majorEastAsia" w:eastAsiaTheme="majorEastAsia"/>
          <w:sz w:val="24"/>
          <w:szCs w:val="24"/>
        </w:rPr>
      </w:pPr>
      <w:r>
        <w:rPr>
          <w:rFonts w:asciiTheme="majorEastAsia" w:hAnsiTheme="majorEastAsia" w:eastAsiaTheme="majorEastAsia"/>
          <w:sz w:val="24"/>
          <w:szCs w:val="24"/>
        </w:rPr>
        <w:t xml:space="preserve">                                    </w:t>
      </w:r>
    </w:p>
    <w:p w14:paraId="00515A7A">
      <w:pPr>
        <w:numPr>
          <w:ilvl w:val="0"/>
          <w:numId w:val="0"/>
        </w:numPr>
        <w:spacing w:line="220" w:lineRule="atLeast"/>
        <w:rPr>
          <w:rFonts w:asciiTheme="majorEastAsia" w:hAnsiTheme="majorEastAsia" w:eastAsiaTheme="majorEastAsia"/>
          <w:sz w:val="24"/>
          <w:szCs w:val="24"/>
        </w:rPr>
      </w:pPr>
    </w:p>
    <w:p w14:paraId="46499A9F">
      <w:pPr>
        <w:spacing w:line="220" w:lineRule="atLeast"/>
        <w:jc w:val="both"/>
        <w:rPr>
          <w:rFonts w:hint="eastAsia" w:asciiTheme="majorEastAsia" w:hAnsiTheme="majorEastAsia" w:eastAsiaTheme="majorEastAsia"/>
          <w:sz w:val="24"/>
          <w:szCs w:val="24"/>
        </w:rPr>
      </w:pPr>
    </w:p>
    <w:tbl>
      <w:tblPr>
        <w:tblStyle w:val="5"/>
        <w:tblpPr w:leftFromText="180" w:rightFromText="180" w:vertAnchor="text" w:horzAnchor="page" w:tblpX="1049" w:tblpY="144"/>
        <w:tblOverlap w:val="never"/>
        <w:tblW w:w="97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0"/>
        <w:gridCol w:w="2394"/>
        <w:gridCol w:w="650"/>
        <w:gridCol w:w="2600"/>
        <w:gridCol w:w="1316"/>
        <w:gridCol w:w="2318"/>
      </w:tblGrid>
      <w:tr w14:paraId="21306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68" w:type="dxa"/>
            <w:gridSpan w:val="6"/>
            <w:tcBorders>
              <w:top w:val="nil"/>
              <w:left w:val="nil"/>
              <w:bottom w:val="nil"/>
              <w:right w:val="nil"/>
            </w:tcBorders>
            <w:shd w:val="clear" w:color="auto" w:fill="auto"/>
            <w:vAlign w:val="center"/>
          </w:tcPr>
          <w:p w14:paraId="40230E2F">
            <w:pPr>
              <w:keepNext w:val="0"/>
              <w:keepLines w:val="0"/>
              <w:widowControl/>
              <w:suppressLineNumbers w:val="0"/>
              <w:jc w:val="center"/>
              <w:textAlignment w:val="center"/>
              <w:rPr>
                <w:rFonts w:hint="default" w:ascii="宋体" w:hAnsi="宋体" w:eastAsia="宋体" w:cs="宋体"/>
                <w:i w:val="0"/>
                <w:iCs w:val="0"/>
                <w:color w:val="000000"/>
                <w:sz w:val="28"/>
                <w:szCs w:val="28"/>
                <w:u w:val="none"/>
                <w:lang w:val="en-US"/>
              </w:rPr>
            </w:pPr>
            <w:r>
              <w:rPr>
                <w:rFonts w:hint="eastAsia" w:asciiTheme="majorEastAsia" w:hAnsiTheme="majorEastAsia" w:eastAsiaTheme="majorEastAsia"/>
                <w:b/>
                <w:sz w:val="28"/>
                <w:szCs w:val="28"/>
                <w:lang w:val="en-US" w:eastAsia="zh-CN"/>
              </w:rPr>
              <w:t>蒲江县中医医院CT维保服务项目报价单</w:t>
            </w:r>
          </w:p>
        </w:tc>
      </w:tr>
      <w:tr w14:paraId="78B32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7F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2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AC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 备 名 称</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48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2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45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生 产 厂 家</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CF38">
            <w:pPr>
              <w:keepNext w:val="0"/>
              <w:keepLines w:val="0"/>
              <w:widowControl/>
              <w:suppressLineNumbers w:val="0"/>
              <w:ind w:firstLine="201" w:firstLineChars="10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全保年限</w:t>
            </w:r>
          </w:p>
        </w:tc>
        <w:tc>
          <w:tcPr>
            <w:tcW w:w="23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20D9">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kern w:val="0"/>
                <w:sz w:val="20"/>
                <w:szCs w:val="20"/>
                <w:u w:val="none"/>
                <w:lang w:val="en-US" w:eastAsia="zh-CN" w:bidi="ar"/>
              </w:rPr>
              <w:t>全保报价（万元）/年</w:t>
            </w:r>
          </w:p>
        </w:tc>
      </w:tr>
      <w:tr w14:paraId="2DBE6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2"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E02B">
            <w:pPr>
              <w:keepNext w:val="0"/>
              <w:keepLines w:val="0"/>
              <w:widowControl/>
              <w:suppressLineNumbers w:val="0"/>
              <w:jc w:val="both"/>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w:t>
            </w:r>
          </w:p>
        </w:tc>
        <w:tc>
          <w:tcPr>
            <w:tcW w:w="2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68AF">
            <w:pPr>
              <w:keepNext w:val="0"/>
              <w:keepLines w:val="0"/>
              <w:widowControl/>
              <w:suppressLineNumbers w:val="0"/>
              <w:jc w:val="both"/>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X射线计算机体层摄影设备(CT)</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70CE">
            <w:pPr>
              <w:keepNext w:val="0"/>
              <w:keepLines w:val="0"/>
              <w:widowControl/>
              <w:suppressLineNumbers w:val="0"/>
              <w:ind w:firstLine="200" w:firstLineChars="100"/>
              <w:jc w:val="both"/>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w:t>
            </w:r>
          </w:p>
        </w:tc>
        <w:tc>
          <w:tcPr>
            <w:tcW w:w="2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A757">
            <w:pPr>
              <w:keepNext w:val="0"/>
              <w:keepLines w:val="0"/>
              <w:widowControl/>
              <w:suppressLineNumbers w:val="0"/>
              <w:jc w:val="both"/>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明峰医疗系统股份有限公司</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62AA">
            <w:pPr>
              <w:keepNext w:val="0"/>
              <w:keepLines w:val="0"/>
              <w:widowControl/>
              <w:suppressLineNumbers w:val="0"/>
              <w:jc w:val="both"/>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 xml:space="preserve">     3年</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DE9B">
            <w:pPr>
              <w:keepNext w:val="0"/>
              <w:keepLines w:val="0"/>
              <w:widowControl/>
              <w:suppressLineNumbers w:val="0"/>
              <w:jc w:val="both"/>
              <w:textAlignment w:val="center"/>
              <w:rPr>
                <w:rFonts w:hint="eastAsia" w:ascii="宋体" w:hAnsi="宋体" w:eastAsia="宋体" w:cs="宋体"/>
                <w:b w:val="0"/>
                <w:bCs w:val="0"/>
                <w:i w:val="0"/>
                <w:iCs w:val="0"/>
                <w:color w:val="000000"/>
                <w:kern w:val="0"/>
                <w:sz w:val="20"/>
                <w:szCs w:val="20"/>
                <w:u w:val="none"/>
                <w:lang w:val="en-US" w:eastAsia="zh-CN" w:bidi="ar"/>
              </w:rPr>
            </w:pPr>
          </w:p>
        </w:tc>
      </w:tr>
    </w:tbl>
    <w:p w14:paraId="66927219">
      <w:pPr>
        <w:spacing w:line="220" w:lineRule="atLeast"/>
        <w:jc w:val="both"/>
        <w:rPr>
          <w:rFonts w:hint="eastAsia" w:asciiTheme="majorEastAsia" w:hAnsiTheme="majorEastAsia" w:eastAsiaTheme="majorEastAsia"/>
          <w:sz w:val="24"/>
          <w:szCs w:val="24"/>
        </w:rPr>
      </w:pPr>
    </w:p>
    <w:p w14:paraId="204B231B">
      <w:pPr>
        <w:spacing w:line="220" w:lineRule="atLeast"/>
        <w:jc w:val="both"/>
        <w:rPr>
          <w:rFonts w:hint="eastAsia" w:asciiTheme="majorEastAsia" w:hAnsiTheme="majorEastAsia" w:eastAsiaTheme="majorEastAsia"/>
          <w:sz w:val="24"/>
          <w:szCs w:val="24"/>
        </w:rPr>
      </w:pPr>
    </w:p>
    <w:p w14:paraId="17895B95">
      <w:pPr>
        <w:spacing w:line="220" w:lineRule="atLeast"/>
        <w:jc w:val="both"/>
        <w:rPr>
          <w:rFonts w:hint="eastAsia" w:asciiTheme="majorEastAsia" w:hAnsiTheme="majorEastAsia" w:eastAsiaTheme="majorEastAsia"/>
          <w:sz w:val="24"/>
          <w:szCs w:val="24"/>
        </w:rPr>
      </w:pPr>
      <w:r>
        <w:rPr>
          <w:rFonts w:hint="eastAsia" w:asciiTheme="majorEastAsia" w:hAnsiTheme="majorEastAsia" w:eastAsiaTheme="majorEastAsia"/>
          <w:sz w:val="24"/>
          <w:szCs w:val="24"/>
        </w:rPr>
        <w:t xml:space="preserve">  </w:t>
      </w:r>
    </w:p>
    <w:p w14:paraId="50550C1D">
      <w:pPr>
        <w:spacing w:line="220" w:lineRule="atLeast"/>
        <w:jc w:val="right"/>
        <w:rPr>
          <w:rFonts w:hint="eastAsia" w:asciiTheme="majorEastAsia" w:hAnsiTheme="majorEastAsia" w:eastAsiaTheme="majorEastAsia"/>
          <w:sz w:val="24"/>
          <w:szCs w:val="24"/>
        </w:rPr>
      </w:pPr>
    </w:p>
    <w:p w14:paraId="6BB65042">
      <w:pPr>
        <w:spacing w:line="220" w:lineRule="atLeast"/>
        <w:jc w:val="right"/>
        <w:rPr>
          <w:rFonts w:hint="eastAsia" w:asciiTheme="majorEastAsia" w:hAnsiTheme="majorEastAsia" w:eastAsiaTheme="majorEastAsia"/>
          <w:sz w:val="24"/>
          <w:szCs w:val="24"/>
        </w:rPr>
      </w:pPr>
    </w:p>
    <w:p w14:paraId="194990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6" w:lineRule="atLeast"/>
        <w:ind w:left="228" w:right="0" w:firstLine="228"/>
        <w:jc w:val="both"/>
        <w:textAlignment w:val="baseline"/>
        <w:rPr>
          <w:rFonts w:hint="eastAsia" w:asciiTheme="majorEastAsia" w:hAnsiTheme="majorEastAsia" w:eastAsiaTheme="majorEastAsia"/>
          <w:sz w:val="24"/>
          <w:szCs w:val="24"/>
        </w:rPr>
      </w:pPr>
    </w:p>
    <w:p w14:paraId="7EF8E3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6" w:lineRule="atLeast"/>
        <w:ind w:left="228" w:right="0" w:firstLine="228"/>
        <w:jc w:val="both"/>
        <w:textAlignment w:val="baseline"/>
        <w:rPr>
          <w:rFonts w:hint="eastAsia" w:ascii="宋体" w:hAnsi="宋体" w:eastAsia="宋体" w:cs="宋体"/>
          <w:i w:val="0"/>
          <w:iCs w:val="0"/>
          <w:caps w:val="0"/>
          <w:color w:val="333333"/>
          <w:spacing w:val="0"/>
          <w:sz w:val="24"/>
          <w:szCs w:val="24"/>
          <w:vertAlign w:val="baseline"/>
        </w:rPr>
      </w:pPr>
    </w:p>
    <w:p w14:paraId="730EDAEA">
      <w:pPr>
        <w:numPr>
          <w:ilvl w:val="0"/>
          <w:numId w:val="0"/>
        </w:numPr>
        <w:spacing w:line="220" w:lineRule="atLeast"/>
        <w:rPr>
          <w:rFonts w:hint="default" w:asciiTheme="majorEastAsia" w:hAnsiTheme="majorEastAsia" w:eastAsiaTheme="majorEastAsia"/>
          <w:sz w:val="24"/>
          <w:szCs w:val="24"/>
          <w:lang w:val="en-US" w:eastAsia="zh-CN"/>
        </w:rPr>
      </w:pPr>
    </w:p>
    <w:p w14:paraId="3B6D6CB3">
      <w:pPr>
        <w:spacing w:line="220" w:lineRule="atLeast"/>
        <w:rPr>
          <w:rFonts w:hint="eastAsia" w:asciiTheme="majorEastAsia" w:hAnsiTheme="majorEastAsia" w:eastAsiaTheme="majorEastAsia"/>
          <w:sz w:val="24"/>
          <w:szCs w:val="24"/>
          <w:lang w:eastAsia="zh-CN"/>
        </w:rPr>
      </w:pPr>
    </w:p>
    <w:p w14:paraId="205EE425">
      <w:pPr>
        <w:ind w:firstLine="480" w:firstLineChars="200"/>
      </w:pPr>
      <w:r>
        <w:rPr>
          <w:rFonts w:hint="eastAsia" w:asciiTheme="majorEastAsia" w:hAnsiTheme="majorEastAsia" w:eastAsiaTheme="majorEastAsia"/>
          <w:sz w:val="24"/>
          <w:szCs w:val="24"/>
        </w:rPr>
        <w:br w:type="textWrapping"/>
      </w:r>
    </w:p>
    <w:sectPr>
      <w:pgSz w:w="11906" w:h="16838"/>
      <w:pgMar w:top="1440" w:right="567" w:bottom="144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1ACEB5"/>
    <w:multiLevelType w:val="singleLevel"/>
    <w:tmpl w:val="E61ACEB5"/>
    <w:lvl w:ilvl="0" w:tentative="0">
      <w:start w:val="1"/>
      <w:numFmt w:val="decimal"/>
      <w:lvlText w:val="%1."/>
      <w:lvlJc w:val="left"/>
      <w:pPr>
        <w:tabs>
          <w:tab w:val="left" w:pos="312"/>
        </w:tabs>
      </w:pPr>
    </w:lvl>
  </w:abstractNum>
  <w:abstractNum w:abstractNumId="1">
    <w:nsid w:val="1D1CF06E"/>
    <w:multiLevelType w:val="singleLevel"/>
    <w:tmpl w:val="1D1CF06E"/>
    <w:lvl w:ilvl="0" w:tentative="0">
      <w:start w:val="1"/>
      <w:numFmt w:val="chineseCounting"/>
      <w:suff w:val="nothing"/>
      <w:lvlText w:val="%1、"/>
      <w:lvlJc w:val="left"/>
      <w:rPr>
        <w:rFonts w:hint="eastAsia"/>
        <w:b/>
        <w:bCs/>
      </w:rPr>
    </w:lvl>
  </w:abstractNum>
  <w:abstractNum w:abstractNumId="2">
    <w:nsid w:val="4AC064E8"/>
    <w:multiLevelType w:val="singleLevel"/>
    <w:tmpl w:val="4AC064E8"/>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30FAC"/>
    <w:rsid w:val="041B280B"/>
    <w:rsid w:val="04844854"/>
    <w:rsid w:val="05E82BC0"/>
    <w:rsid w:val="08B643FA"/>
    <w:rsid w:val="095A5B83"/>
    <w:rsid w:val="099E6880"/>
    <w:rsid w:val="0ACF1E0A"/>
    <w:rsid w:val="0AEE2A27"/>
    <w:rsid w:val="0C26526F"/>
    <w:rsid w:val="0E3C5EBD"/>
    <w:rsid w:val="1597592F"/>
    <w:rsid w:val="181929CC"/>
    <w:rsid w:val="199C7F68"/>
    <w:rsid w:val="1AA11864"/>
    <w:rsid w:val="1CEB32E9"/>
    <w:rsid w:val="1D0B1216"/>
    <w:rsid w:val="1D7E168E"/>
    <w:rsid w:val="1EE7180F"/>
    <w:rsid w:val="1F54667D"/>
    <w:rsid w:val="1FF71F26"/>
    <w:rsid w:val="20757D89"/>
    <w:rsid w:val="22C75BE0"/>
    <w:rsid w:val="23B81A72"/>
    <w:rsid w:val="25653CC6"/>
    <w:rsid w:val="25F572E5"/>
    <w:rsid w:val="28976C5B"/>
    <w:rsid w:val="29C07C89"/>
    <w:rsid w:val="2D4B2A65"/>
    <w:rsid w:val="321B1ADE"/>
    <w:rsid w:val="3252213B"/>
    <w:rsid w:val="34515C51"/>
    <w:rsid w:val="37FB6A05"/>
    <w:rsid w:val="3AA03AB9"/>
    <w:rsid w:val="3AAF7947"/>
    <w:rsid w:val="3B7A0EAB"/>
    <w:rsid w:val="3D9E318E"/>
    <w:rsid w:val="401C5365"/>
    <w:rsid w:val="41171FD0"/>
    <w:rsid w:val="450D34CE"/>
    <w:rsid w:val="4511173C"/>
    <w:rsid w:val="4527694A"/>
    <w:rsid w:val="46A4485F"/>
    <w:rsid w:val="47462D7D"/>
    <w:rsid w:val="47B625DF"/>
    <w:rsid w:val="48D71595"/>
    <w:rsid w:val="4C213D03"/>
    <w:rsid w:val="50170033"/>
    <w:rsid w:val="50687B56"/>
    <w:rsid w:val="5382152B"/>
    <w:rsid w:val="546926EB"/>
    <w:rsid w:val="554A6E7A"/>
    <w:rsid w:val="59AA17DC"/>
    <w:rsid w:val="5A040A36"/>
    <w:rsid w:val="5D9E3405"/>
    <w:rsid w:val="5E4E6BDA"/>
    <w:rsid w:val="5F546472"/>
    <w:rsid w:val="5F741BBD"/>
    <w:rsid w:val="5FCB6A8E"/>
    <w:rsid w:val="608E3D52"/>
    <w:rsid w:val="60AC735D"/>
    <w:rsid w:val="64C4092B"/>
    <w:rsid w:val="655A40B6"/>
    <w:rsid w:val="67780823"/>
    <w:rsid w:val="684A6664"/>
    <w:rsid w:val="69F46BC0"/>
    <w:rsid w:val="6AE83F12"/>
    <w:rsid w:val="6C420FCD"/>
    <w:rsid w:val="6CCF625A"/>
    <w:rsid w:val="6D1E00BF"/>
    <w:rsid w:val="6D526D97"/>
    <w:rsid w:val="6E5D7B11"/>
    <w:rsid w:val="70AD3C34"/>
    <w:rsid w:val="71EA0570"/>
    <w:rsid w:val="73243F55"/>
    <w:rsid w:val="7609275D"/>
    <w:rsid w:val="767E397C"/>
    <w:rsid w:val="76E0420F"/>
    <w:rsid w:val="77476F3F"/>
    <w:rsid w:val="77CA336B"/>
    <w:rsid w:val="7836450F"/>
    <w:rsid w:val="7CA35863"/>
    <w:rsid w:val="7CA718B9"/>
    <w:rsid w:val="7F4C0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2"/>
    <w:basedOn w:val="1"/>
    <w:next w:val="1"/>
    <w:qFormat/>
    <w:uiPriority w:val="0"/>
    <w:pPr>
      <w:keepNext/>
      <w:keepLines/>
      <w:spacing w:before="140" w:after="140" w:line="360" w:lineRule="auto"/>
      <w:jc w:val="center"/>
      <w:outlineLvl w:val="1"/>
    </w:pPr>
    <w:rPr>
      <w:rFonts w:ascii="Calibri" w:hAnsi="Calibri" w:eastAsia="黑体"/>
      <w:b/>
      <w:bCs/>
      <w:kern w:val="2"/>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font21"/>
    <w:basedOn w:val="6"/>
    <w:qFormat/>
    <w:uiPriority w:val="0"/>
    <w:rPr>
      <w:rFonts w:hint="eastAsia" w:ascii="宋体" w:hAnsi="宋体" w:eastAsia="宋体" w:cs="宋体"/>
      <w:color w:val="000000"/>
      <w:sz w:val="20"/>
      <w:szCs w:val="20"/>
      <w:u w:val="none"/>
    </w:rPr>
  </w:style>
  <w:style w:type="character" w:customStyle="1" w:styleId="8">
    <w:name w:val="font51"/>
    <w:basedOn w:val="6"/>
    <w:qFormat/>
    <w:uiPriority w:val="0"/>
    <w:rPr>
      <w:rFonts w:hint="eastAsia" w:ascii="宋体" w:hAnsi="宋体" w:eastAsia="宋体" w:cs="宋体"/>
      <w:color w:val="333333"/>
      <w:sz w:val="20"/>
      <w:szCs w:val="20"/>
      <w:u w:val="none"/>
    </w:rPr>
  </w:style>
  <w:style w:type="character" w:customStyle="1" w:styleId="9">
    <w:name w:val="font31"/>
    <w:basedOn w:val="6"/>
    <w:qFormat/>
    <w:uiPriority w:val="0"/>
    <w:rPr>
      <w:rFonts w:hint="eastAsia" w:ascii="宋体" w:hAnsi="宋体" w:eastAsia="宋体" w:cs="宋体"/>
      <w:color w:val="000000"/>
      <w:sz w:val="20"/>
      <w:szCs w:val="20"/>
      <w:u w:val="none"/>
    </w:rPr>
  </w:style>
  <w:style w:type="character" w:customStyle="1" w:styleId="10">
    <w:name w:val="font41"/>
    <w:basedOn w:val="6"/>
    <w:qFormat/>
    <w:uiPriority w:val="0"/>
    <w:rPr>
      <w:rFonts w:hint="eastAsia" w:ascii="宋体" w:hAnsi="宋体" w:eastAsia="宋体" w:cs="宋体"/>
      <w:color w:val="000000"/>
      <w:sz w:val="24"/>
      <w:szCs w:val="24"/>
      <w:u w:val="none"/>
    </w:rPr>
  </w:style>
  <w:style w:type="paragraph" w:customStyle="1" w:styleId="1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3195</Words>
  <Characters>3413</Characters>
  <Lines>0</Lines>
  <Paragraphs>0</Paragraphs>
  <TotalTime>28</TotalTime>
  <ScaleCrop>false</ScaleCrop>
  <LinksUpToDate>false</LinksUpToDate>
  <CharactersWithSpaces>3646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2024-12-02T06:27:00Z</dcterms:created>
  <dc:creator>Administrator</dc:creator>
  <cp:lastModifiedBy>C~靓~Y</cp:lastModifiedBy>
  <dcterms:modified xsi:type="dcterms:W3CDTF">2025-12-17T01:23:28Z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FA9EC819CC294209AC791D5929F75803_13</vt:lpwstr>
  </property>
  <property fmtid="{D5CDD505-2E9C-101B-9397-08002B2CF9AE}" pid="4" name="KSOTemplateDocerSaveRecord">
    <vt:lpwstr>eyJoZGlkIjoiNDlkOTkwYWUyMDJiYTY1NDg0ZWU4MTNkNzQwNzBlZjYiLCJ1c2VySWQiOiI0OTI5MzA3NTAifQ==</vt:lpwstr>
  </property>
</Properties>
</file>